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13763C5"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for the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rdinary General Meeting of Shareholders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78075033"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07388F">
        <w:rPr>
          <w:rFonts w:ascii="Times New Roman" w:eastAsia="DaxlinePro-Light" w:hAnsi="Times New Roman" w:cs="Times New Roman"/>
          <w:b/>
          <w:bCs/>
          <w:noProof/>
          <w:sz w:val="24"/>
          <w:szCs w:val="24"/>
        </w:rPr>
        <w:t>26/27.02.2025</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0B6F1125"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w:t>
      </w:r>
      <w:r w:rsidR="004039E3" w:rsidRPr="003E78D8">
        <w:rPr>
          <w:rFonts w:ascii="Times New Roman" w:eastAsia="Calibri" w:hAnsi="Times New Roman" w:cs="Times New Roman"/>
          <w:b/>
          <w:bCs/>
          <w:noProof/>
          <w:sz w:val="24"/>
          <w:szCs w:val="24"/>
        </w:rPr>
        <w:t>OGMS</w:t>
      </w:r>
      <w:r w:rsidR="004039E3" w:rsidRPr="004E195C">
        <w:rPr>
          <w:rFonts w:ascii="Times New Roman" w:eastAsia="Calibri" w:hAnsi="Times New Roman" w:cs="Times New Roman"/>
          <w:noProof/>
          <w:sz w:val="24"/>
          <w:szCs w:val="24"/>
        </w:rPr>
        <w:t xml:space="preserve"> of the Company that will take place on </w:t>
      </w:r>
      <w:r w:rsidR="000C7471" w:rsidRPr="00181D2B">
        <w:rPr>
          <w:rFonts w:ascii="Times New Roman" w:eastAsia="Calibri" w:hAnsi="Times New Roman" w:cs="Times New Roman"/>
          <w:b/>
          <w:bCs/>
          <w:noProof/>
          <w:sz w:val="24"/>
          <w:szCs w:val="24"/>
        </w:rPr>
        <w:t xml:space="preserve">February 26, 2025, at 11:00 </w:t>
      </w:r>
      <w:r w:rsidR="000C7471" w:rsidRPr="004E195C">
        <w:rPr>
          <w:rFonts w:ascii="Times New Roman" w:eastAsia="DaxlinePro-Light" w:hAnsi="Times New Roman" w:cs="Times New Roman"/>
          <w:b/>
          <w:bCs/>
          <w:noProof/>
          <w:sz w:val="24"/>
          <w:szCs w:val="24"/>
        </w:rPr>
        <w:t>(Romanian time) – the first convocation</w:t>
      </w:r>
      <w:r w:rsidR="000C7471" w:rsidRPr="004E195C">
        <w:rPr>
          <w:rFonts w:ascii="Times New Roman" w:eastAsia="DaxlinePro-Light" w:hAnsi="Times New Roman" w:cs="Times New Roman"/>
          <w:noProof/>
          <w:sz w:val="24"/>
          <w:szCs w:val="24"/>
        </w:rPr>
        <w:t xml:space="preserve"> and, respectively </w:t>
      </w:r>
      <w:r w:rsidR="000C7471" w:rsidRPr="006B5B95">
        <w:rPr>
          <w:rFonts w:ascii="Times New Roman" w:eastAsia="DaxlinePro-Light" w:hAnsi="Times New Roman" w:cs="Times New Roman"/>
          <w:b/>
          <w:bCs/>
          <w:noProof/>
          <w:sz w:val="24"/>
          <w:szCs w:val="24"/>
        </w:rPr>
        <w:t>February 27, 2025, at 11:00</w:t>
      </w:r>
      <w:r w:rsidR="000C7471" w:rsidRPr="006B5B95">
        <w:rPr>
          <w:rFonts w:ascii="Times New Roman" w:eastAsia="DaxlinePro-Light" w:hAnsi="Times New Roman" w:cs="Times New Roman"/>
          <w:noProof/>
          <w:sz w:val="24"/>
          <w:szCs w:val="24"/>
        </w:rPr>
        <w:t xml:space="preserve"> (Romanian time) </w:t>
      </w:r>
      <w:r w:rsidR="000C7471" w:rsidRPr="004E195C">
        <w:rPr>
          <w:rFonts w:ascii="Times New Roman" w:eastAsia="DaxlinePro-Light" w:hAnsi="Times New Roman" w:cs="Times New Roman"/>
          <w:noProof/>
          <w:sz w:val="24"/>
          <w:szCs w:val="24"/>
        </w:rPr>
        <w:t>– the second convocation</w:t>
      </w:r>
      <w:r w:rsidR="000A043F" w:rsidRPr="00680CFA">
        <w:rPr>
          <w:rFonts w:ascii="Times New Roman" w:eastAsia="DaxlinePro-Light" w:hAnsi="Times New Roman" w:cs="Times New Roman"/>
          <w:noProof/>
          <w:sz w:val="24"/>
          <w:szCs w:val="24"/>
          <w:lang w:val="ro-RO"/>
        </w:rPr>
        <w:t>,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3612C6AC" w14:textId="77777777" w:rsidR="00AD6DB0" w:rsidRPr="00680CFA" w:rsidRDefault="00AD6DB0" w:rsidP="00680CFA">
      <w:pPr>
        <w:widowControl w:val="0"/>
        <w:jc w:val="both"/>
        <w:rPr>
          <w:rFonts w:ascii="Times New Roman" w:eastAsia="Calibri" w:hAnsi="Times New Roman" w:cs="Times New Roman"/>
          <w:noProof/>
          <w:sz w:val="24"/>
          <w:szCs w:val="24"/>
          <w:lang w:val="ro-RO"/>
        </w:rPr>
      </w:pPr>
    </w:p>
    <w:p w14:paraId="1919ED7F" w14:textId="77777777" w:rsidR="005219A3" w:rsidRPr="00A41E3F" w:rsidRDefault="005219A3" w:rsidP="005219A3">
      <w:pPr>
        <w:tabs>
          <w:tab w:val="left" w:pos="720"/>
        </w:tabs>
        <w:spacing w:line="360" w:lineRule="auto"/>
        <w:jc w:val="both"/>
        <w:rPr>
          <w:rFonts w:ascii="Times New Roman" w:hAnsi="Times New Roman" w:cs="Times New Roman"/>
          <w:noProof/>
          <w:sz w:val="24"/>
          <w:szCs w:val="24"/>
        </w:rPr>
      </w:pPr>
      <w:r w:rsidRPr="00A41E3F">
        <w:rPr>
          <w:rFonts w:ascii="Times New Roman" w:eastAsia="DaxlinePro-Light" w:hAnsi="Times New Roman" w:cs="Times New Roman"/>
          <w:b/>
          <w:bCs/>
          <w:iCs/>
          <w:noProof/>
          <w:sz w:val="24"/>
          <w:szCs w:val="24"/>
        </w:rPr>
        <w:t xml:space="preserve">For agenda item no. 1, respectively: </w:t>
      </w:r>
      <w:r w:rsidRPr="00A41E3F">
        <w:rPr>
          <w:rFonts w:ascii="Times New Roman" w:hAnsi="Times New Roman" w:cs="Times New Roman"/>
          <w:b/>
          <w:bCs/>
          <w:noProof/>
          <w:sz w:val="24"/>
          <w:szCs w:val="24"/>
        </w:rPr>
        <w:t xml:space="preserve">Approval </w:t>
      </w:r>
      <w:r w:rsidRPr="00A41E3F">
        <w:rPr>
          <w:rFonts w:ascii="Times New Roman" w:hAnsi="Times New Roman" w:cs="Times New Roman"/>
          <w:noProof/>
          <w:sz w:val="24"/>
          <w:szCs w:val="24"/>
        </w:rPr>
        <w:t>of the implementation of a "Stock Option Plan", based on the principles presented in the attached supporting note, and empowering the Board of Directors to adopt all necessary measures and fulfill all formalities required for the approval and implementation of the plan, such as, but not limited to: (i) establishing the criteria for allocating shares, (ii) determining the positions within the organizational chart to which the program will apply, (iii) the conditions and deadlines for exercising the option right and, implicitly, for acquiring shares, (iv) determining the number of shares to be actually distributed, (v) preparing and publishing the information documents in accordance with the law, (vi) the mechanisms for acquiring and the actual acquisition of shares by the plan’s beneficiaries, (vii) the mechanism for accelerating the exercise of the beneficiaries’ option rights, etc.</w:t>
      </w:r>
    </w:p>
    <w:p w14:paraId="12B8ECD1" w14:textId="77777777" w:rsidR="005219A3" w:rsidRPr="00A41E3F" w:rsidRDefault="005219A3" w:rsidP="005219A3">
      <w:pPr>
        <w:widowControl w:val="0"/>
        <w:jc w:val="both"/>
        <w:rPr>
          <w:rFonts w:ascii="Times New Roman" w:eastAsia="DaxlinePro-Light" w:hAnsi="Times New Roman" w:cs="Times New Roman"/>
          <w:iCs/>
          <w:noProof/>
          <w:sz w:val="24"/>
          <w:szCs w:val="24"/>
        </w:rPr>
      </w:pPr>
      <w:r w:rsidRPr="00A41E3F">
        <w:rPr>
          <w:rFonts w:ascii="Times New Roman" w:hAnsi="Times New Roman" w:cs="Times New Roman"/>
          <w:noProof/>
          <w:sz w:val="24"/>
          <w:szCs w:val="24"/>
        </w:rPr>
        <w:t>The implementation of the plan will be carried out in compliance with the legal obligations to prepare and publish information documents in accordance with the law, as indicated in Regulation no. 5/2018 regarding issuers and securities transactions and Regulation (EU) no. 1129/2017</w:t>
      </w:r>
      <w:r w:rsidRPr="00A41E3F">
        <w:rPr>
          <w:rFonts w:ascii="Times New Roman" w:eastAsia="DaxlinePro-Light" w:hAnsi="Times New Roman" w:cs="Times New Roman"/>
          <w:iCs/>
          <w:noProof/>
          <w:sz w:val="24"/>
          <w:szCs w:val="24"/>
        </w:rPr>
        <w:t>.</w:t>
      </w:r>
    </w:p>
    <w:p w14:paraId="5B61D2EF" w14:textId="77777777" w:rsidR="005219A3" w:rsidRPr="004E195C" w:rsidRDefault="005219A3" w:rsidP="005219A3">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219A3" w:rsidRPr="004E195C" w14:paraId="27588122" w14:textId="77777777" w:rsidTr="0068455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2E5FFD4"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C943C29"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DD4CA0F"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219A3" w:rsidRPr="004E195C" w14:paraId="5C6D5AE4" w14:textId="77777777" w:rsidTr="0068455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95ECD79"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4FD3F73"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277E3DC"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A44D336" w14:textId="77777777" w:rsidR="005219A3" w:rsidRPr="004E195C" w:rsidRDefault="005219A3" w:rsidP="005219A3">
      <w:pPr>
        <w:widowControl w:val="0"/>
        <w:pBdr>
          <w:bottom w:val="single" w:sz="12" w:space="1" w:color="auto"/>
        </w:pBdr>
        <w:jc w:val="both"/>
        <w:rPr>
          <w:rFonts w:ascii="Times New Roman" w:eastAsia="DaxlinePro-Light" w:hAnsi="Times New Roman" w:cs="Times New Roman"/>
          <w:noProof/>
          <w:sz w:val="24"/>
          <w:szCs w:val="24"/>
        </w:rPr>
      </w:pPr>
    </w:p>
    <w:p w14:paraId="3A3F96CD" w14:textId="77777777" w:rsidR="005219A3" w:rsidRDefault="005219A3" w:rsidP="005219A3">
      <w:pPr>
        <w:widowControl w:val="0"/>
        <w:jc w:val="both"/>
        <w:rPr>
          <w:rFonts w:ascii="Times New Roman" w:eastAsia="DaxlinePro-Light" w:hAnsi="Times New Roman" w:cs="Times New Roman"/>
          <w:b/>
          <w:bCs/>
          <w:iCs/>
          <w:noProof/>
          <w:sz w:val="24"/>
          <w:szCs w:val="24"/>
        </w:rPr>
      </w:pPr>
    </w:p>
    <w:p w14:paraId="6D67BE84" w14:textId="70CB1709" w:rsidR="005219A3" w:rsidRPr="00D465DB" w:rsidRDefault="005219A3" w:rsidP="005219A3">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Pr="006B5B95">
        <w:rPr>
          <w:rFonts w:ascii="Times New Roman" w:eastAsia="DaxlinePro-Light" w:hAnsi="Times New Roman" w:cs="Times New Roman"/>
          <w:b/>
          <w:bCs/>
          <w:iCs/>
          <w:noProof/>
          <w:sz w:val="24"/>
          <w:szCs w:val="24"/>
        </w:rPr>
        <w:t>Approval</w:t>
      </w:r>
      <w:r w:rsidRPr="00D465DB">
        <w:rPr>
          <w:rFonts w:ascii="Times New Roman" w:eastAsia="DaxlinePro-Light" w:hAnsi="Times New Roman" w:cs="Times New Roman"/>
          <w:iCs/>
          <w:noProof/>
          <w:sz w:val="24"/>
          <w:szCs w:val="24"/>
        </w:rPr>
        <w:t xml:space="preserve"> of the amendment to the Remuneration Policy including the remuneration due to members of the Board of Directors and the maximum limits for remuneration according to article 153 index 18 of Law no. 31/1990, as made available to shareholders, in accordance with the law, and its implementation starting from the date of approval by the Ordinary General Meeting of Shareholders.</w:t>
      </w:r>
    </w:p>
    <w:p w14:paraId="4004D07B" w14:textId="77777777" w:rsidR="005219A3" w:rsidRPr="00D465DB" w:rsidRDefault="005219A3" w:rsidP="005219A3">
      <w:pPr>
        <w:widowControl w:val="0"/>
        <w:jc w:val="both"/>
        <w:rPr>
          <w:rFonts w:ascii="Times New Roman" w:eastAsia="DaxlinePro-Light" w:hAnsi="Times New Roman" w:cs="Times New Roman"/>
          <w:iCs/>
          <w:noProof/>
          <w:sz w:val="24"/>
          <w:szCs w:val="24"/>
        </w:rPr>
      </w:pPr>
      <w:r w:rsidRPr="00D465DB">
        <w:rPr>
          <w:rFonts w:ascii="Times New Roman" w:eastAsia="DaxlinePro-Light" w:hAnsi="Times New Roman" w:cs="Times New Roman"/>
          <w:iCs/>
          <w:noProof/>
          <w:sz w:val="24"/>
          <w:szCs w:val="24"/>
        </w:rPr>
        <w:t>The proposed amendment concerns Art. 5.1.2. letter (ii) of the Policy and aims to increase the limits of the annual variable remuneration of the Chief Executive Officer, referred to as a performance bonus, as follows:</w:t>
      </w:r>
    </w:p>
    <w:p w14:paraId="13BEC259" w14:textId="77777777" w:rsidR="005219A3" w:rsidRPr="00D465DB" w:rsidRDefault="005219A3" w:rsidP="005219A3">
      <w:pPr>
        <w:widowControl w:val="0"/>
        <w:jc w:val="both"/>
        <w:rPr>
          <w:rFonts w:ascii="Times New Roman" w:eastAsia="DaxlinePro-Light" w:hAnsi="Times New Roman" w:cs="Times New Roman"/>
          <w:iCs/>
          <w:noProof/>
          <w:sz w:val="24"/>
          <w:szCs w:val="24"/>
        </w:rPr>
      </w:pPr>
      <w:r w:rsidRPr="00D465DB">
        <w:rPr>
          <w:rFonts w:ascii="Times New Roman" w:eastAsia="DaxlinePro-Light" w:hAnsi="Times New Roman" w:cs="Times New Roman"/>
          <w:iCs/>
          <w:noProof/>
          <w:sz w:val="24"/>
          <w:szCs w:val="24"/>
        </w:rPr>
        <w:t>“</w:t>
      </w:r>
      <w:r w:rsidRPr="00D465DB">
        <w:rPr>
          <w:rFonts w:ascii="Times New Roman" w:eastAsia="DaxlinePro-Light" w:hAnsi="Times New Roman" w:cs="Times New Roman"/>
          <w:i/>
          <w:iCs/>
          <w:noProof/>
          <w:sz w:val="24"/>
          <w:szCs w:val="24"/>
        </w:rPr>
        <w:t>5.1.2. […] (ii) The performance bonus is calculated as a percentage applied to the fixed remuneration, a percentage that may be up to 50% of the total annual fixed remuneration and will be paid annually, after confirmation of achieving the results targeted through the applicable performance criteria, together with the remuneration for the month of April of each year</w:t>
      </w:r>
      <w:r w:rsidRPr="00D465DB">
        <w:rPr>
          <w:rFonts w:ascii="Times New Roman" w:eastAsia="DaxlinePro-Light" w:hAnsi="Times New Roman" w:cs="Times New Roman"/>
          <w:iCs/>
          <w:noProof/>
          <w:sz w:val="24"/>
          <w:szCs w:val="24"/>
        </w:rPr>
        <w:t>.”</w:t>
      </w:r>
    </w:p>
    <w:p w14:paraId="183284A2" w14:textId="77777777" w:rsidR="005219A3" w:rsidRPr="004E195C" w:rsidRDefault="005219A3" w:rsidP="005219A3">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219A3" w:rsidRPr="004E195C" w14:paraId="46E374C1" w14:textId="77777777" w:rsidTr="0068455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5170C72"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0456A33"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207F8E0"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219A3" w:rsidRPr="004E195C" w14:paraId="34FB3163" w14:textId="77777777" w:rsidTr="0068455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F02DF9D"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C495929"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4EE4C8B"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3A261FB" w14:textId="77777777" w:rsidR="005219A3" w:rsidRPr="004E195C" w:rsidRDefault="005219A3" w:rsidP="005219A3">
      <w:pPr>
        <w:widowControl w:val="0"/>
        <w:pBdr>
          <w:bottom w:val="single" w:sz="12" w:space="1" w:color="auto"/>
        </w:pBdr>
        <w:jc w:val="both"/>
        <w:rPr>
          <w:rFonts w:ascii="Times New Roman" w:eastAsia="DaxlinePro-Light" w:hAnsi="Times New Roman" w:cs="Times New Roman"/>
          <w:noProof/>
          <w:sz w:val="24"/>
          <w:szCs w:val="24"/>
        </w:rPr>
      </w:pPr>
    </w:p>
    <w:p w14:paraId="2795AACF" w14:textId="77777777" w:rsidR="005219A3" w:rsidRPr="004E195C" w:rsidRDefault="005219A3" w:rsidP="005219A3">
      <w:pPr>
        <w:jc w:val="both"/>
        <w:rPr>
          <w:rFonts w:ascii="Times New Roman" w:hAnsi="Times New Roman" w:cs="Times New Roman"/>
          <w:i/>
          <w:noProof/>
          <w:sz w:val="24"/>
          <w:szCs w:val="24"/>
        </w:rPr>
      </w:pPr>
    </w:p>
    <w:p w14:paraId="33C68BC2" w14:textId="77777777" w:rsidR="005219A3" w:rsidRPr="006B5B95" w:rsidRDefault="005219A3" w:rsidP="005219A3">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 xml:space="preserve">Approval </w:t>
      </w:r>
      <w:r w:rsidRPr="006B5B95">
        <w:rPr>
          <w:rFonts w:ascii="Times New Roman" w:eastAsia="DaxlinePro-Light" w:hAnsi="Times New Roman" w:cs="Times New Roman"/>
          <w:iCs/>
          <w:noProof/>
          <w:sz w:val="24"/>
          <w:szCs w:val="24"/>
        </w:rPr>
        <w:t xml:space="preserve">of the power of attorney granted to the Chairman of </w:t>
      </w:r>
      <w:r w:rsidRPr="006B5B95">
        <w:rPr>
          <w:rFonts w:ascii="Times New Roman" w:eastAsia="DaxlinePro-Light" w:hAnsi="Times New Roman" w:cs="Times New Roman"/>
          <w:iCs/>
          <w:noProof/>
          <w:sz w:val="24"/>
          <w:szCs w:val="24"/>
        </w:rPr>
        <w:lastRenderedPageBreak/>
        <w:t>the Board of Directors, Ioan-Adrian Bindea, to sign on behalf of the shareholders the OGMS resolution, as well as all documents to be adopted by the OGMS, and to fulfill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p>
    <w:p w14:paraId="62EC7308" w14:textId="77777777" w:rsidR="005219A3" w:rsidRPr="004E195C" w:rsidRDefault="005219A3" w:rsidP="005219A3">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219A3" w:rsidRPr="004E195C" w14:paraId="57DC29D5" w14:textId="77777777" w:rsidTr="0068455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405E6C7"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1733737"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C19E112"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219A3" w:rsidRPr="004E195C" w14:paraId="0AD00F8C" w14:textId="77777777" w:rsidTr="0068455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43DB65B"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E89A311"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1418D21" w14:textId="77777777" w:rsidR="005219A3" w:rsidRPr="004E195C" w:rsidRDefault="005219A3"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AF11831" w14:textId="77777777" w:rsidR="005219A3" w:rsidRPr="004E195C" w:rsidRDefault="005219A3" w:rsidP="005219A3">
      <w:pPr>
        <w:widowControl w:val="0"/>
        <w:pBdr>
          <w:bottom w:val="single" w:sz="12" w:space="1" w:color="auto"/>
        </w:pBdr>
        <w:jc w:val="both"/>
        <w:rPr>
          <w:rFonts w:ascii="Times New Roman" w:eastAsia="DaxlinePro-Light" w:hAnsi="Times New Roman" w:cs="Times New Roman"/>
          <w:noProof/>
          <w:sz w:val="24"/>
          <w:szCs w:val="24"/>
        </w:rPr>
      </w:pPr>
    </w:p>
    <w:p w14:paraId="30B37CE4" w14:textId="77777777" w:rsidR="005219A3" w:rsidRDefault="005219A3" w:rsidP="00680CFA">
      <w:pPr>
        <w:jc w:val="both"/>
        <w:rPr>
          <w:rFonts w:ascii="Times New Roman" w:hAnsi="Times New Roman" w:cs="Times New Roman"/>
          <w:i/>
          <w:noProof/>
          <w:sz w:val="24"/>
          <w:szCs w:val="24"/>
          <w:lang w:val="ro-RO"/>
        </w:rPr>
      </w:pPr>
    </w:p>
    <w:p w14:paraId="28C67A79" w14:textId="3E71D98B"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B40815">
      <w:pPr>
        <w:keepNext/>
        <w:keepLines/>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B40815">
      <w:pPr>
        <w:keepNext/>
        <w:keepLines/>
        <w:jc w:val="both"/>
        <w:rPr>
          <w:rFonts w:ascii="Times New Roman" w:hAnsi="Times New Roman" w:cs="Times New Roman"/>
          <w:b/>
          <w:bCs/>
          <w:noProof/>
          <w:sz w:val="24"/>
          <w:szCs w:val="24"/>
          <w:lang w:val="ro-RO"/>
        </w:rPr>
      </w:pPr>
    </w:p>
    <w:p w14:paraId="1DAAFE69" w14:textId="3611C18F" w:rsidR="008E018F" w:rsidRPr="00680CFA" w:rsidRDefault="00B62786" w:rsidP="00B40815">
      <w:pPr>
        <w:keepNext/>
        <w:keepLines/>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is valid only for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 xml:space="preserve">GSM for which it was requested, and the representative has the obligation to vote in accordance with the instructions formulated by the shareholder who appointed him, under the sanction of annulment of the vote by the secretaries of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GSM meeting</w:t>
      </w:r>
      <w:r w:rsidR="008E018F" w:rsidRPr="00680CFA">
        <w:rPr>
          <w:rFonts w:ascii="Times New Roman" w:hAnsi="Times New Roman" w:cs="Times New Roman"/>
          <w:noProof/>
          <w:sz w:val="24"/>
          <w:szCs w:val="24"/>
          <w:lang w:val="ro-RO"/>
        </w:rPr>
        <w:t>;</w:t>
      </w:r>
    </w:p>
    <w:p w14:paraId="43EEB279" w14:textId="1D49DB0E"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5219A3">
        <w:rPr>
          <w:rFonts w:ascii="Times New Roman" w:hAnsi="Times New Roman" w:cs="Times New Roman"/>
          <w:noProof/>
          <w:sz w:val="24"/>
          <w:szCs w:val="24"/>
          <w:lang w:val="ro-RO"/>
        </w:rPr>
        <w:t>February 21, 2025</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F31B0D">
        <w:rPr>
          <w:rFonts w:ascii="Times New Roman" w:hAnsi="Times New Roman" w:cs="Times New Roman"/>
          <w:noProof/>
          <w:sz w:val="24"/>
          <w:szCs w:val="24"/>
          <w:lang w:val="ro-RO"/>
        </w:rPr>
        <w:t>8</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263E5A00"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5219A3">
        <w:rPr>
          <w:rFonts w:ascii="Times New Roman" w:hAnsi="Times New Roman" w:cs="Times New Roman"/>
          <w:noProof/>
          <w:sz w:val="24"/>
          <w:szCs w:val="24"/>
          <w:lang w:val="ro-RO"/>
        </w:rPr>
        <w:t>(13.02.2025</w:t>
      </w:r>
      <w:r w:rsidR="001629C6">
        <w:rPr>
          <w:rFonts w:ascii="Times New Roman" w:hAnsi="Times New Roman" w:cs="Times New Roman"/>
          <w:b/>
          <w:noProof/>
          <w:sz w:val="24"/>
          <w:szCs w:val="24"/>
          <w:lang w:val="ro-RO"/>
        </w:rPr>
        <w:t>)</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75F76B0A" w:rsidR="003316EE"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lastRenderedPageBreak/>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FD2480F" w14:textId="77777777" w:rsidR="00444977" w:rsidRPr="00680CFA" w:rsidRDefault="00444977"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30A8C227" w14:textId="13AE66E5" w:rsidR="00B40815"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p w14:paraId="24AE2DCB" w14:textId="491F8CFA" w:rsidR="00684AF6" w:rsidRDefault="00684AF6" w:rsidP="00680CFA">
      <w:pPr>
        <w:jc w:val="both"/>
        <w:rPr>
          <w:rFonts w:ascii="Times New Roman" w:hAnsi="Times New Roman" w:cs="Times New Roman"/>
          <w:i/>
          <w:iCs/>
          <w:noProof/>
          <w:sz w:val="24"/>
          <w:szCs w:val="24"/>
          <w:lang w:val="ro-RO"/>
        </w:rPr>
      </w:pPr>
    </w:p>
    <w:p w14:paraId="5A70308E" w14:textId="1D039A58" w:rsidR="00684AF6" w:rsidRDefault="00684AF6" w:rsidP="00680CFA">
      <w:pPr>
        <w:jc w:val="both"/>
        <w:rPr>
          <w:rFonts w:ascii="Times New Roman" w:hAnsi="Times New Roman" w:cs="Times New Roman"/>
          <w:i/>
          <w:iCs/>
          <w:noProof/>
          <w:sz w:val="24"/>
          <w:szCs w:val="24"/>
          <w:lang w:val="ro-RO"/>
        </w:rPr>
      </w:pPr>
    </w:p>
    <w:p w14:paraId="2E44E4E2" w14:textId="240D6D72" w:rsidR="00684AF6" w:rsidRDefault="00684AF6" w:rsidP="00680CFA">
      <w:pPr>
        <w:jc w:val="both"/>
        <w:rPr>
          <w:rFonts w:ascii="Times New Roman" w:hAnsi="Times New Roman" w:cs="Times New Roman"/>
          <w:i/>
          <w:iCs/>
          <w:noProof/>
          <w:sz w:val="24"/>
          <w:szCs w:val="24"/>
          <w:lang w:val="ro-RO"/>
        </w:rPr>
      </w:pPr>
    </w:p>
    <w:p w14:paraId="322C82DC" w14:textId="70A50098" w:rsidR="00684AF6" w:rsidRDefault="00684AF6" w:rsidP="00680CFA">
      <w:pPr>
        <w:jc w:val="both"/>
        <w:rPr>
          <w:rFonts w:ascii="Times New Roman" w:hAnsi="Times New Roman" w:cs="Times New Roman"/>
          <w:i/>
          <w:iCs/>
          <w:noProof/>
          <w:sz w:val="24"/>
          <w:szCs w:val="24"/>
          <w:lang w:val="ro-RO"/>
        </w:rPr>
      </w:pPr>
    </w:p>
    <w:p w14:paraId="0514BCC9" w14:textId="079B1E59" w:rsidR="00684AF6" w:rsidRDefault="00684AF6" w:rsidP="00680CFA">
      <w:pPr>
        <w:jc w:val="both"/>
        <w:rPr>
          <w:rFonts w:ascii="Times New Roman" w:hAnsi="Times New Roman" w:cs="Times New Roman"/>
          <w:i/>
          <w:iCs/>
          <w:noProof/>
          <w:sz w:val="24"/>
          <w:szCs w:val="24"/>
          <w:lang w:val="ro-RO"/>
        </w:rPr>
      </w:pPr>
    </w:p>
    <w:p w14:paraId="64E80011" w14:textId="33576DCF" w:rsidR="00684AF6" w:rsidRDefault="00684AF6" w:rsidP="00680CFA">
      <w:pPr>
        <w:jc w:val="both"/>
        <w:rPr>
          <w:rFonts w:ascii="Times New Roman" w:hAnsi="Times New Roman" w:cs="Times New Roman"/>
          <w:i/>
          <w:iCs/>
          <w:noProof/>
          <w:sz w:val="24"/>
          <w:szCs w:val="24"/>
          <w:lang w:val="ro-RO"/>
        </w:rPr>
      </w:pPr>
    </w:p>
    <w:p w14:paraId="3C1C6BAD" w14:textId="295B9EA5" w:rsidR="00684AF6" w:rsidRDefault="00684AF6" w:rsidP="00680CFA">
      <w:pPr>
        <w:jc w:val="both"/>
        <w:rPr>
          <w:rFonts w:ascii="Times New Roman" w:hAnsi="Times New Roman" w:cs="Times New Roman"/>
          <w:i/>
          <w:iCs/>
          <w:noProof/>
          <w:sz w:val="24"/>
          <w:szCs w:val="24"/>
          <w:lang w:val="ro-RO"/>
        </w:rPr>
      </w:pPr>
    </w:p>
    <w:p w14:paraId="3AE1EEC4" w14:textId="0891B258" w:rsidR="00684AF6" w:rsidRDefault="00684AF6" w:rsidP="00680CFA">
      <w:pPr>
        <w:jc w:val="both"/>
        <w:rPr>
          <w:rFonts w:ascii="Times New Roman" w:hAnsi="Times New Roman" w:cs="Times New Roman"/>
          <w:i/>
          <w:iCs/>
          <w:noProof/>
          <w:sz w:val="24"/>
          <w:szCs w:val="24"/>
          <w:lang w:val="ro-RO"/>
        </w:rPr>
      </w:pPr>
    </w:p>
    <w:p w14:paraId="587384FA" w14:textId="62C14EB3" w:rsidR="00684AF6" w:rsidRDefault="00684AF6" w:rsidP="00680CFA">
      <w:pPr>
        <w:jc w:val="both"/>
        <w:rPr>
          <w:rFonts w:ascii="Times New Roman" w:hAnsi="Times New Roman" w:cs="Times New Roman"/>
          <w:i/>
          <w:iCs/>
          <w:noProof/>
          <w:sz w:val="24"/>
          <w:szCs w:val="24"/>
          <w:lang w:val="ro-RO"/>
        </w:rPr>
      </w:pPr>
    </w:p>
    <w:p w14:paraId="2CF507BD" w14:textId="4F36A7EA" w:rsidR="00684AF6" w:rsidRDefault="00684AF6" w:rsidP="00680CFA">
      <w:pPr>
        <w:jc w:val="both"/>
        <w:rPr>
          <w:rFonts w:ascii="Times New Roman" w:hAnsi="Times New Roman" w:cs="Times New Roman"/>
          <w:i/>
          <w:iCs/>
          <w:noProof/>
          <w:sz w:val="24"/>
          <w:szCs w:val="24"/>
          <w:lang w:val="ro-RO"/>
        </w:rPr>
      </w:pPr>
    </w:p>
    <w:p w14:paraId="7ED49611" w14:textId="3C8E171E" w:rsidR="00684AF6" w:rsidRDefault="00684AF6" w:rsidP="00680CFA">
      <w:pPr>
        <w:jc w:val="both"/>
        <w:rPr>
          <w:rFonts w:ascii="Times New Roman" w:hAnsi="Times New Roman" w:cs="Times New Roman"/>
          <w:i/>
          <w:iCs/>
          <w:noProof/>
          <w:sz w:val="24"/>
          <w:szCs w:val="24"/>
          <w:lang w:val="ro-RO"/>
        </w:rPr>
      </w:pPr>
      <w:bookmarkStart w:id="2" w:name="_GoBack"/>
      <w:bookmarkEnd w:id="2"/>
    </w:p>
    <w:sectPr w:rsidR="00684AF6"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10"/>
  </w:num>
  <w:num w:numId="4">
    <w:abstractNumId w:val="0"/>
  </w:num>
  <w:num w:numId="5">
    <w:abstractNumId w:val="4"/>
  </w:num>
  <w:num w:numId="6">
    <w:abstractNumId w:val="8"/>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7388F"/>
    <w:rsid w:val="0008445F"/>
    <w:rsid w:val="00086FAA"/>
    <w:rsid w:val="00096597"/>
    <w:rsid w:val="000A043F"/>
    <w:rsid w:val="000A3D26"/>
    <w:rsid w:val="000C7471"/>
    <w:rsid w:val="000D2C91"/>
    <w:rsid w:val="000D68FF"/>
    <w:rsid w:val="001629C6"/>
    <w:rsid w:val="001751F5"/>
    <w:rsid w:val="001B1949"/>
    <w:rsid w:val="001B1F03"/>
    <w:rsid w:val="001D4997"/>
    <w:rsid w:val="001E25C6"/>
    <w:rsid w:val="002522B8"/>
    <w:rsid w:val="00273FC6"/>
    <w:rsid w:val="0028773C"/>
    <w:rsid w:val="002C4F25"/>
    <w:rsid w:val="002E4820"/>
    <w:rsid w:val="003316EE"/>
    <w:rsid w:val="00362149"/>
    <w:rsid w:val="00371D68"/>
    <w:rsid w:val="003D0BB5"/>
    <w:rsid w:val="003D1D14"/>
    <w:rsid w:val="003E1D09"/>
    <w:rsid w:val="004039E3"/>
    <w:rsid w:val="00444977"/>
    <w:rsid w:val="004560B7"/>
    <w:rsid w:val="004B13AC"/>
    <w:rsid w:val="004B66F2"/>
    <w:rsid w:val="005219A3"/>
    <w:rsid w:val="00537D2D"/>
    <w:rsid w:val="0055351C"/>
    <w:rsid w:val="00583F49"/>
    <w:rsid w:val="0058635D"/>
    <w:rsid w:val="005912E4"/>
    <w:rsid w:val="005F41E8"/>
    <w:rsid w:val="00604022"/>
    <w:rsid w:val="00611BD3"/>
    <w:rsid w:val="00646235"/>
    <w:rsid w:val="0064771A"/>
    <w:rsid w:val="00672B33"/>
    <w:rsid w:val="00680CFA"/>
    <w:rsid w:val="00684AF6"/>
    <w:rsid w:val="006A3895"/>
    <w:rsid w:val="006F45D3"/>
    <w:rsid w:val="007248D6"/>
    <w:rsid w:val="00752935"/>
    <w:rsid w:val="00755B21"/>
    <w:rsid w:val="007562AF"/>
    <w:rsid w:val="00786382"/>
    <w:rsid w:val="00790475"/>
    <w:rsid w:val="007A6EA5"/>
    <w:rsid w:val="007B7446"/>
    <w:rsid w:val="00841A82"/>
    <w:rsid w:val="008471F4"/>
    <w:rsid w:val="0086258D"/>
    <w:rsid w:val="00877277"/>
    <w:rsid w:val="008B2B34"/>
    <w:rsid w:val="008D6F56"/>
    <w:rsid w:val="008E018F"/>
    <w:rsid w:val="008F6C4D"/>
    <w:rsid w:val="009071F2"/>
    <w:rsid w:val="00911C4E"/>
    <w:rsid w:val="00916DE1"/>
    <w:rsid w:val="00941E45"/>
    <w:rsid w:val="0094267E"/>
    <w:rsid w:val="0095741B"/>
    <w:rsid w:val="0097621C"/>
    <w:rsid w:val="009767EE"/>
    <w:rsid w:val="00980893"/>
    <w:rsid w:val="00A124D4"/>
    <w:rsid w:val="00A2596D"/>
    <w:rsid w:val="00A747AB"/>
    <w:rsid w:val="00A84DFB"/>
    <w:rsid w:val="00A94337"/>
    <w:rsid w:val="00AD6DB0"/>
    <w:rsid w:val="00AE3280"/>
    <w:rsid w:val="00AF5F45"/>
    <w:rsid w:val="00B1138D"/>
    <w:rsid w:val="00B279F8"/>
    <w:rsid w:val="00B312D8"/>
    <w:rsid w:val="00B355E3"/>
    <w:rsid w:val="00B40815"/>
    <w:rsid w:val="00B62786"/>
    <w:rsid w:val="00B86A8B"/>
    <w:rsid w:val="00BD7E68"/>
    <w:rsid w:val="00BF083D"/>
    <w:rsid w:val="00C538D9"/>
    <w:rsid w:val="00C76557"/>
    <w:rsid w:val="00CA33C3"/>
    <w:rsid w:val="00CB2EA7"/>
    <w:rsid w:val="00CC0E88"/>
    <w:rsid w:val="00CD17DA"/>
    <w:rsid w:val="00D272B4"/>
    <w:rsid w:val="00D33C34"/>
    <w:rsid w:val="00E06B58"/>
    <w:rsid w:val="00E13AA3"/>
    <w:rsid w:val="00E968C0"/>
    <w:rsid w:val="00EB0FED"/>
    <w:rsid w:val="00EE6B06"/>
    <w:rsid w:val="00F02395"/>
    <w:rsid w:val="00F31B0D"/>
    <w:rsid w:val="00F40359"/>
    <w:rsid w:val="00F6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675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C57C61E7-ABCA-49E6-9266-D81207860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Oana Maria Berbece</cp:lastModifiedBy>
  <cp:revision>56</cp:revision>
  <dcterms:created xsi:type="dcterms:W3CDTF">2022-03-25T13:57:00Z</dcterms:created>
  <dcterms:modified xsi:type="dcterms:W3CDTF">2025-01-23T13:49:00Z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