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77777777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0575A7">
        <w:rPr>
          <w:rFonts w:ascii="Times New Roman" w:eastAsia="Calibri" w:hAnsi="Times New Roman" w:cs="Times New Roman"/>
          <w:sz w:val="24"/>
          <w:szCs w:val="24"/>
        </w:rPr>
        <w:t>Extrao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4D608F5A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108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643108" w:rsidRPr="003440E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643108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643108" w:rsidRPr="003440E5">
        <w:rPr>
          <w:rFonts w:ascii="Times New Roman" w:eastAsia="DaxlinePro-Light" w:hAnsi="Times New Roman" w:cs="Times New Roman"/>
          <w:sz w:val="24"/>
          <w:szCs w:val="24"/>
        </w:rPr>
        <w:t>.0</w:t>
      </w:r>
      <w:r w:rsidR="00643108">
        <w:rPr>
          <w:rFonts w:ascii="Times New Roman" w:eastAsia="DaxlinePro-Light" w:hAnsi="Times New Roman" w:cs="Times New Roman"/>
          <w:sz w:val="24"/>
          <w:szCs w:val="24"/>
        </w:rPr>
        <w:t>1</w:t>
      </w:r>
      <w:r w:rsidR="00643108" w:rsidRPr="003440E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643108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5D21FE8C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71EFE91C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29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01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0 (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93671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936710" w:rsidRPr="003440E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936710" w:rsidRPr="003440E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936710" w:rsidRPr="003440E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93671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936710" w:rsidRPr="00C93B2B">
        <w:rPr>
          <w:rFonts w:ascii="Times New Roman" w:eastAsia="DaxlinePro-Light" w:hAnsi="Times New Roman" w:cs="Times New Roman"/>
          <w:b/>
          <w:bCs/>
          <w:sz w:val="24"/>
          <w:szCs w:val="24"/>
        </w:rPr>
        <w:t>30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</w:t>
      </w:r>
      <w:r w:rsidR="00936710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0 (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936710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936710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E5CF84" w14:textId="77777777" w:rsidR="001824BF" w:rsidRPr="005B4873" w:rsidRDefault="001824BF" w:rsidP="001824BF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4AAB4E08" w14:textId="77777777" w:rsidR="00DE5791" w:rsidRPr="003C512D" w:rsidRDefault="00DE5791" w:rsidP="00DE5791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modificării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Actului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Constitutiv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forma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pusă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dispoziția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acționarilor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potrivit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anexei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prezentul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convocator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Modificările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Actul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Constitutiv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referitoare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Piața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reglementată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administrată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Bursa de Valori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București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sunt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efective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sub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rezerva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aprobării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transferului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acțiunilor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această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piață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28DD6D50" w14:textId="77777777" w:rsidR="00DE5791" w:rsidRPr="003C512D" w:rsidRDefault="00DE5791" w:rsidP="00DE5791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5791" w:rsidRPr="003440E5" w14:paraId="55C364A9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758D3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D76A6D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1A8DEC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5791" w:rsidRPr="003440E5" w14:paraId="41ACC64A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994A4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C82AF9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2572AB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C3FD941" w14:textId="77777777" w:rsidR="00DE5791" w:rsidRPr="003440E5" w:rsidRDefault="00DE5791" w:rsidP="00DE5791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587E5A52" w14:textId="77777777" w:rsidR="00DE5791" w:rsidRPr="0078397E" w:rsidRDefault="00DE5791" w:rsidP="00DE5791">
      <w:pPr>
        <w:tabs>
          <w:tab w:val="left" w:pos="450"/>
        </w:tabs>
        <w:spacing w:before="200" w:after="200" w:line="240" w:lineRule="auto"/>
        <w:jc w:val="both"/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achiziției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, direct de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, a 70% din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emise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Workshop,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însemnând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70 de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fiecare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cu o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individuală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10 Lei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totală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700 Lei,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preț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achiziție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Prețul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Părților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”)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cuantum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maxim de 50.000.000 RON (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cincizeci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milioane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lei) („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Tranzacția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”), precum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achiziției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pachet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suplimentar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30% din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emise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Workshop,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condițiile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termenii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stipulați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CVC,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semnării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da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efect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Tranzacției</w:t>
      </w:r>
      <w:proofErr w:type="spellEnd"/>
      <w:r w:rsidRPr="004959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5791" w:rsidRPr="003440E5" w14:paraId="21A2051C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BCF1D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253E6A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D828CD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5791" w:rsidRPr="003440E5" w14:paraId="6C73E49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AC555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136A1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7995C7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5151A8C" w14:textId="77777777" w:rsidR="00DE5791" w:rsidRPr="003440E5" w:rsidRDefault="00DE5791" w:rsidP="00DE5791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5A82E6D" w14:textId="77777777" w:rsidR="00DE5791" w:rsidRPr="003952C9" w:rsidRDefault="00DE5791" w:rsidP="00DE5791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bookmarkStart w:id="2" w:name="_Ref134796637"/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dl. Ioan-Adrian Bindea, cu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puteri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depline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autoritate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acționeze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interesul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952C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bookmarkEnd w:id="2"/>
    </w:p>
    <w:p w14:paraId="2009BC9A" w14:textId="77777777" w:rsidR="00DE5791" w:rsidRPr="00F731BF" w:rsidRDefault="00DE5791" w:rsidP="00DE5791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negocieze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termenii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concrete ale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semneze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fie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olograf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fie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altă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modalitate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acceptată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lege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efectuării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finalizării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309531D8" w14:textId="77777777" w:rsidR="00DE5791" w:rsidRDefault="00DE5791" w:rsidP="00DE5791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punctul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precum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efectuarea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finalizarea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fiind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îndreptățit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semneze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depună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primească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chiar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fața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notar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Oficiului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Registrului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autorităților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fiscale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băncilor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fizice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private, din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străinătate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6A5F366" w14:textId="77777777" w:rsidR="00DE5791" w:rsidRPr="00F731BF" w:rsidRDefault="00DE5791" w:rsidP="00DE5791">
      <w:pPr>
        <w:tabs>
          <w:tab w:val="left" w:pos="450"/>
        </w:tabs>
        <w:spacing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Mandatul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dlui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Ioan-Adrian Bindea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intră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data AGEA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celor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acesta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subdelegare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7777849" w14:textId="77777777" w:rsidR="00DE5791" w:rsidRPr="003440E5" w:rsidRDefault="00DE5791" w:rsidP="00DE5791">
      <w:pPr>
        <w:tabs>
          <w:tab w:val="left" w:pos="450"/>
        </w:tabs>
        <w:spacing w:line="240" w:lineRule="auto"/>
        <w:ind w:left="45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5791" w:rsidRPr="003440E5" w14:paraId="642E6C80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E2F09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6F2DAF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385C01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5791" w:rsidRPr="003440E5" w14:paraId="32C6EEA1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5580B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0F8D44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AB396D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4BD5CC6" w14:textId="77777777" w:rsidR="00DE5791" w:rsidRPr="003440E5" w:rsidRDefault="00DE5791" w:rsidP="00DE5791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F9CD9F1" w14:textId="77777777" w:rsidR="00DE5791" w:rsidRPr="009F1061" w:rsidRDefault="00DE5791" w:rsidP="00DE5791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4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încheierii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bancă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facilități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finanțării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50.000.000 lei (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cincizeci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milioane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lei), precum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constituirii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garanții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conturilor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imobiliare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favoarea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băncii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o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maximă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50.000.000 Lei (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cincizeci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milioane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lei)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bookmarkStart w:id="3" w:name="_Ref134610464"/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5791" w:rsidRPr="003440E5" w14:paraId="0C134C10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bookmarkEnd w:id="3"/>
          <w:p w14:paraId="7F61CD5C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104851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33C0C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5791" w:rsidRPr="003440E5" w14:paraId="493AD884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9C206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55392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13D764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1911AD7" w14:textId="77777777" w:rsidR="00DE5791" w:rsidRPr="003440E5" w:rsidRDefault="00DE5791" w:rsidP="00DE5791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6BF909B" w14:textId="77777777" w:rsidR="00DE5791" w:rsidRDefault="00DE5791" w:rsidP="00DE5791">
      <w:pPr>
        <w:keepNext/>
        <w:keepLines/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5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E1B76BA" w14:textId="77777777" w:rsidR="00DE5791" w:rsidRPr="00A0584C" w:rsidRDefault="00DE5791" w:rsidP="00DE5791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termenilor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concrete ale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facilității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punctul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garanțiilor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acordate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favoarea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Băncii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limitelor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aprobate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AGEA;</w:t>
      </w:r>
      <w:proofErr w:type="gramEnd"/>
    </w:p>
    <w:p w14:paraId="5EA6B767" w14:textId="77777777" w:rsidR="00DE5791" w:rsidRPr="00A0584C" w:rsidRDefault="00DE5791" w:rsidP="00DE5791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facililitate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poate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limitele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aprobate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AGEA;</w:t>
      </w:r>
      <w:proofErr w:type="gramEnd"/>
    </w:p>
    <w:p w14:paraId="3CD6D198" w14:textId="77777777" w:rsidR="00DE5791" w:rsidRPr="00A0584C" w:rsidRDefault="00DE5791" w:rsidP="00DE5791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garant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poate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banca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83392A2" w14:textId="77777777" w:rsidR="00DE5791" w:rsidRPr="00A0584C" w:rsidRDefault="00DE5791" w:rsidP="00DE5791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împuternicirea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finanțării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facilitate de credit,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D8CFF3C" w14:textId="77777777" w:rsidR="00DE5791" w:rsidRDefault="00DE5791" w:rsidP="00DE5791">
      <w:pPr>
        <w:pStyle w:val="ListParagraph"/>
        <w:numPr>
          <w:ilvl w:val="0"/>
          <w:numId w:val="20"/>
        </w:numPr>
        <w:tabs>
          <w:tab w:val="left" w:pos="450"/>
        </w:tabs>
        <w:spacing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dorite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caracterul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obligatoriu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producă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finanțării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52864FB" w14:textId="77777777" w:rsidR="00DE5791" w:rsidRPr="00A0584C" w:rsidRDefault="00DE5791" w:rsidP="00DE5791">
      <w:pPr>
        <w:pStyle w:val="ListParagraph"/>
        <w:tabs>
          <w:tab w:val="left" w:pos="450"/>
        </w:tabs>
        <w:spacing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5791" w:rsidRPr="003440E5" w14:paraId="704B4B0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6D643" w14:textId="77777777" w:rsidR="00DE5791" w:rsidRPr="003440E5" w:rsidRDefault="00DE5791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6A387" w14:textId="77777777" w:rsidR="00DE5791" w:rsidRPr="003440E5" w:rsidRDefault="00DE5791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FC4E0E" w14:textId="77777777" w:rsidR="00DE5791" w:rsidRPr="003440E5" w:rsidRDefault="00DE5791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5791" w:rsidRPr="003440E5" w14:paraId="7A66954C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9FA27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4E5D0C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5455A5" w14:textId="77777777" w:rsidR="00DE5791" w:rsidRPr="003440E5" w:rsidRDefault="00DE5791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C7A7646" w14:textId="77777777" w:rsidR="00DE5791" w:rsidRPr="003440E5" w:rsidRDefault="00DE5791" w:rsidP="00DE5791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BEB0544" w14:textId="0615FF2B" w:rsidR="00DE5791" w:rsidRDefault="00DE5791" w:rsidP="004E06C0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AGEA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Actului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EAB73E" w14:textId="77777777" w:rsidR="004E06C0" w:rsidRPr="003440E5" w:rsidRDefault="004E06C0" w:rsidP="004E06C0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E5791" w:rsidRPr="003440E5" w14:paraId="60B60F64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5F638" w14:textId="77777777" w:rsidR="00DE5791" w:rsidRPr="003440E5" w:rsidRDefault="00DE5791" w:rsidP="004E06C0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338734" w14:textId="77777777" w:rsidR="00DE5791" w:rsidRPr="003440E5" w:rsidRDefault="00DE5791" w:rsidP="004E06C0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D6ACF5" w14:textId="77777777" w:rsidR="00DE5791" w:rsidRPr="003440E5" w:rsidRDefault="00DE5791" w:rsidP="004E06C0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E5791" w:rsidRPr="003440E5" w14:paraId="7C7C4D96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947BE" w14:textId="77777777" w:rsidR="00DE5791" w:rsidRPr="003440E5" w:rsidRDefault="00DE5791" w:rsidP="004E06C0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C22AC1" w14:textId="77777777" w:rsidR="00DE5791" w:rsidRPr="003440E5" w:rsidRDefault="00DE5791" w:rsidP="004E06C0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EEE2B7" w14:textId="77777777" w:rsidR="00DE5791" w:rsidRPr="003440E5" w:rsidRDefault="00DE5791" w:rsidP="004E06C0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7B95BCB" w14:textId="77777777" w:rsidR="00DE5791" w:rsidRPr="003440E5" w:rsidRDefault="00DE5791" w:rsidP="004E06C0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D034E98" w14:textId="77777777" w:rsidR="00DE5791" w:rsidRDefault="00DE5791" w:rsidP="004E06C0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00D87AF4" w:rsidR="008E018F" w:rsidRPr="0064771A" w:rsidRDefault="008E018F" w:rsidP="004E06C0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60A1B92" w:rsidR="008E018F" w:rsidRDefault="008E018F" w:rsidP="001824B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7CD0A872" w14:textId="77777777" w:rsidR="007C7D01" w:rsidRPr="008E018F" w:rsidRDefault="007C7D01" w:rsidP="001824B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1DAAFE69" w14:textId="77777777" w:rsidR="008E018F" w:rsidRPr="008E018F" w:rsidRDefault="008E018F" w:rsidP="001824BF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8F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238541B5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C3389A">
        <w:rPr>
          <w:rFonts w:ascii="Times New Roman" w:hAnsi="Times New Roman" w:cs="Times New Roman"/>
          <w:sz w:val="24"/>
          <w:szCs w:val="24"/>
        </w:rPr>
        <w:t>26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89A">
        <w:rPr>
          <w:rFonts w:ascii="Times New Roman" w:hAnsi="Times New Roman" w:cs="Times New Roman"/>
          <w:sz w:val="24"/>
          <w:szCs w:val="24"/>
        </w:rPr>
        <w:t>ianuar</w:t>
      </w:r>
      <w:r w:rsidR="00307E36" w:rsidRPr="00307E3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307E36" w:rsidRPr="00307E36">
        <w:rPr>
          <w:rFonts w:ascii="Times New Roman" w:hAnsi="Times New Roman" w:cs="Times New Roman"/>
          <w:sz w:val="24"/>
          <w:szCs w:val="24"/>
        </w:rPr>
        <w:t xml:space="preserve"> 202</w:t>
      </w:r>
      <w:r w:rsidR="00C3389A">
        <w:rPr>
          <w:rFonts w:ascii="Times New Roman" w:hAnsi="Times New Roman" w:cs="Times New Roman"/>
          <w:sz w:val="24"/>
          <w:szCs w:val="24"/>
        </w:rPr>
        <w:t>4</w:t>
      </w:r>
      <w:r w:rsidR="00307E36" w:rsidRPr="00307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E36" w:rsidRPr="00307E3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07E36" w:rsidRPr="00307E36">
        <w:rPr>
          <w:rFonts w:ascii="Times New Roman" w:hAnsi="Times New Roman" w:cs="Times New Roman"/>
          <w:sz w:val="24"/>
          <w:szCs w:val="24"/>
        </w:rPr>
        <w:t xml:space="preserve"> 18:00</w:t>
      </w:r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8E018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2EA40BB5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C3389A">
        <w:rPr>
          <w:rFonts w:ascii="Times New Roman" w:hAnsi="Times New Roman" w:cs="Times New Roman"/>
          <w:b/>
          <w:sz w:val="24"/>
          <w:szCs w:val="24"/>
        </w:rPr>
        <w:t>18</w:t>
      </w:r>
      <w:r w:rsidR="007F5123" w:rsidRPr="007F5123">
        <w:rPr>
          <w:rFonts w:ascii="Times New Roman" w:hAnsi="Times New Roman" w:cs="Times New Roman"/>
          <w:b/>
          <w:sz w:val="24"/>
          <w:szCs w:val="24"/>
        </w:rPr>
        <w:t>.0</w:t>
      </w:r>
      <w:r w:rsidR="00C3389A">
        <w:rPr>
          <w:rFonts w:ascii="Times New Roman" w:hAnsi="Times New Roman" w:cs="Times New Roman"/>
          <w:b/>
          <w:sz w:val="24"/>
          <w:szCs w:val="24"/>
        </w:rPr>
        <w:t>1</w:t>
      </w:r>
      <w:r w:rsidR="007F5123" w:rsidRPr="007F5123">
        <w:rPr>
          <w:rFonts w:ascii="Times New Roman" w:hAnsi="Times New Roman" w:cs="Times New Roman"/>
          <w:b/>
          <w:sz w:val="24"/>
          <w:szCs w:val="24"/>
        </w:rPr>
        <w:t>.202</w:t>
      </w:r>
      <w:r w:rsidR="00C3389A">
        <w:rPr>
          <w:rFonts w:ascii="Times New Roman" w:hAnsi="Times New Roman" w:cs="Times New Roman"/>
          <w:b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7C7D01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7C7D01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7C7D0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7C7D01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7C7D01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7C7D01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7C7D01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2C3D03AB" w14:textId="77777777" w:rsidR="008E018F" w:rsidRPr="008E018F" w:rsidRDefault="008E018F" w:rsidP="007C7D01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00000045" w14:textId="77777777" w:rsidR="00911C4E" w:rsidRPr="000575A7" w:rsidRDefault="00911C4E" w:rsidP="00F12A1B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56728" w14:textId="77777777" w:rsidR="00D76185" w:rsidRDefault="00D76185" w:rsidP="008F6C4D">
      <w:pPr>
        <w:spacing w:line="240" w:lineRule="auto"/>
      </w:pPr>
      <w:r>
        <w:separator/>
      </w:r>
    </w:p>
  </w:endnote>
  <w:endnote w:type="continuationSeparator" w:id="0">
    <w:p w14:paraId="389D9A01" w14:textId="77777777" w:rsidR="00D76185" w:rsidRDefault="00D7618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DDB33" w14:textId="77777777" w:rsidR="00D76185" w:rsidRDefault="00D76185" w:rsidP="008F6C4D">
      <w:pPr>
        <w:spacing w:line="240" w:lineRule="auto"/>
      </w:pPr>
      <w:r>
        <w:separator/>
      </w:r>
    </w:p>
  </w:footnote>
  <w:footnote w:type="continuationSeparator" w:id="0">
    <w:p w14:paraId="646C3B42" w14:textId="77777777" w:rsidR="00D76185" w:rsidRDefault="00D7618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24D94A5B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17"/>
  </w:num>
  <w:num w:numId="15">
    <w:abstractNumId w:val="0"/>
  </w:num>
  <w:num w:numId="16">
    <w:abstractNumId w:val="19"/>
  </w:num>
  <w:num w:numId="17">
    <w:abstractNumId w:val="11"/>
  </w:num>
  <w:num w:numId="18">
    <w:abstractNumId w:val="1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575A7"/>
    <w:rsid w:val="000A3D26"/>
    <w:rsid w:val="000D2C91"/>
    <w:rsid w:val="00125BE3"/>
    <w:rsid w:val="001751F5"/>
    <w:rsid w:val="001824BF"/>
    <w:rsid w:val="001B1949"/>
    <w:rsid w:val="001E25C6"/>
    <w:rsid w:val="001E65E0"/>
    <w:rsid w:val="002522B8"/>
    <w:rsid w:val="002834D5"/>
    <w:rsid w:val="002C4F25"/>
    <w:rsid w:val="00307E36"/>
    <w:rsid w:val="00362149"/>
    <w:rsid w:val="004E06C0"/>
    <w:rsid w:val="005001DE"/>
    <w:rsid w:val="00515A40"/>
    <w:rsid w:val="005259A1"/>
    <w:rsid w:val="00537D2D"/>
    <w:rsid w:val="0057441E"/>
    <w:rsid w:val="0058635D"/>
    <w:rsid w:val="005912E4"/>
    <w:rsid w:val="005B070D"/>
    <w:rsid w:val="005F41E8"/>
    <w:rsid w:val="00643108"/>
    <w:rsid w:val="0064771A"/>
    <w:rsid w:val="006B0140"/>
    <w:rsid w:val="006F45D3"/>
    <w:rsid w:val="00752340"/>
    <w:rsid w:val="00755B21"/>
    <w:rsid w:val="0077394A"/>
    <w:rsid w:val="0078101C"/>
    <w:rsid w:val="007B7446"/>
    <w:rsid w:val="007C7D01"/>
    <w:rsid w:val="007F5123"/>
    <w:rsid w:val="00877277"/>
    <w:rsid w:val="008B2B34"/>
    <w:rsid w:val="008E018F"/>
    <w:rsid w:val="008F6C4D"/>
    <w:rsid w:val="00911C4E"/>
    <w:rsid w:val="00917436"/>
    <w:rsid w:val="00936710"/>
    <w:rsid w:val="0095741B"/>
    <w:rsid w:val="009741B9"/>
    <w:rsid w:val="00980893"/>
    <w:rsid w:val="00A124D4"/>
    <w:rsid w:val="00A2596D"/>
    <w:rsid w:val="00A84DFB"/>
    <w:rsid w:val="00A94337"/>
    <w:rsid w:val="00A97E84"/>
    <w:rsid w:val="00AF5FEA"/>
    <w:rsid w:val="00B279F8"/>
    <w:rsid w:val="00B67990"/>
    <w:rsid w:val="00B76BE0"/>
    <w:rsid w:val="00BD7E68"/>
    <w:rsid w:val="00BF083D"/>
    <w:rsid w:val="00C03FAE"/>
    <w:rsid w:val="00C3389A"/>
    <w:rsid w:val="00C441F0"/>
    <w:rsid w:val="00CA33C3"/>
    <w:rsid w:val="00CC0E88"/>
    <w:rsid w:val="00CD17DA"/>
    <w:rsid w:val="00CF78FA"/>
    <w:rsid w:val="00D64136"/>
    <w:rsid w:val="00D76185"/>
    <w:rsid w:val="00D9334A"/>
    <w:rsid w:val="00DE0CD4"/>
    <w:rsid w:val="00DE5791"/>
    <w:rsid w:val="00E06B58"/>
    <w:rsid w:val="00E63AC9"/>
    <w:rsid w:val="00E968C0"/>
    <w:rsid w:val="00E972BE"/>
    <w:rsid w:val="00F02395"/>
    <w:rsid w:val="00F12A1B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7" ma:contentTypeDescription="Create a new document." ma:contentTypeScope="" ma:versionID="c4489443ac17ad69f0d81d3d89d12865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7f45ceebb062a2a489a24318406d41fc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FBAD1-52AE-4092-95B5-D6801AA72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</cp:lastModifiedBy>
  <cp:revision>59</cp:revision>
  <dcterms:created xsi:type="dcterms:W3CDTF">2022-03-24T12:25:00Z</dcterms:created>
  <dcterms:modified xsi:type="dcterms:W3CDTF">2023-12-28T11:05:00Z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