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28F3A4B" w14:textId="640474F5" w:rsidR="000D2C91" w:rsidRPr="000575A7" w:rsidRDefault="0056587F" w:rsidP="0056587F">
      <w:pPr>
        <w:widowControl w:val="0"/>
        <w:jc w:val="center"/>
        <w:rPr>
          <w:rFonts w:ascii="Times New Roman" w:eastAsia="Calibri" w:hAnsi="Times New Roman" w:cs="Times New Roman"/>
          <w:sz w:val="24"/>
          <w:szCs w:val="24"/>
        </w:rPr>
      </w:pPr>
      <w:r w:rsidRPr="0056587F">
        <w:rPr>
          <w:rFonts w:ascii="Times New Roman" w:eastAsia="Calibri" w:hAnsi="Times New Roman" w:cs="Times New Roman"/>
          <w:b/>
          <w:bCs/>
          <w:sz w:val="24"/>
          <w:szCs w:val="24"/>
        </w:rPr>
        <w:t xml:space="preserve">for the Extraordinary General Shareholders Meeting (EGSM)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77777777"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lastRenderedPageBreak/>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r w:rsidR="00127013">
        <w:rPr>
          <w:rFonts w:ascii="Times New Roman" w:eastAsia="Calibri" w:hAnsi="Times New Roman" w:cs="Times New Roman"/>
          <w:bCs/>
          <w:sz w:val="24"/>
          <w:szCs w:val="24"/>
        </w:rPr>
        <w:t>truestee</w:t>
      </w:r>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72C70A17"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Depozitarul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in the case of the authorized legal person, we also attach his certificate, in original or copy conforming to the original, issued by the Trade Register or any other document, in original or 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lastRenderedPageBreak/>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of Law no. 24/2017) or as a lawyer, and the shareholder is the client of the proxy</w:t>
      </w:r>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7013"/>
    <w:rsid w:val="001E25C6"/>
    <w:rsid w:val="00203171"/>
    <w:rsid w:val="002522B8"/>
    <w:rsid w:val="00270CEB"/>
    <w:rsid w:val="002C4F25"/>
    <w:rsid w:val="002E4DC0"/>
    <w:rsid w:val="003000B1"/>
    <w:rsid w:val="00362149"/>
    <w:rsid w:val="00456B69"/>
    <w:rsid w:val="004B7FC3"/>
    <w:rsid w:val="004C0C55"/>
    <w:rsid w:val="004C7B10"/>
    <w:rsid w:val="00537D2D"/>
    <w:rsid w:val="0056587F"/>
    <w:rsid w:val="0058635D"/>
    <w:rsid w:val="00755B21"/>
    <w:rsid w:val="007B7446"/>
    <w:rsid w:val="0085482E"/>
    <w:rsid w:val="00877277"/>
    <w:rsid w:val="008F6C4D"/>
    <w:rsid w:val="00911C4E"/>
    <w:rsid w:val="009D3C78"/>
    <w:rsid w:val="00A2596D"/>
    <w:rsid w:val="00A84DFB"/>
    <w:rsid w:val="00BD7E68"/>
    <w:rsid w:val="00BF083D"/>
    <w:rsid w:val="00C61542"/>
    <w:rsid w:val="00CB52A1"/>
    <w:rsid w:val="00CC0E88"/>
    <w:rsid w:val="00CD17DA"/>
    <w:rsid w:val="00DA76E9"/>
    <w:rsid w:val="00E06B58"/>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3</cp:revision>
  <dcterms:created xsi:type="dcterms:W3CDTF">2022-03-25T13:04:00Z</dcterms:created>
  <dcterms:modified xsi:type="dcterms:W3CDTF">2022-05-12T08:15:00Z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