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7777777"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for the Extraordinary General Meeting of Shareholders (EGMS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7516832A"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841A82">
        <w:rPr>
          <w:rFonts w:ascii="Times New Roman" w:eastAsia="DaxlinePro-Light" w:hAnsi="Times New Roman" w:cs="Times New Roman"/>
          <w:b/>
          <w:bCs/>
          <w:noProof/>
          <w:sz w:val="24"/>
          <w:szCs w:val="24"/>
        </w:rPr>
        <w:t>2</w:t>
      </w:r>
      <w:r w:rsidR="005B5C37">
        <w:rPr>
          <w:rFonts w:ascii="Times New Roman" w:eastAsia="DaxlinePro-Light" w:hAnsi="Times New Roman" w:cs="Times New Roman"/>
          <w:b/>
          <w:bCs/>
          <w:noProof/>
          <w:sz w:val="24"/>
          <w:szCs w:val="24"/>
        </w:rPr>
        <w:t>2</w:t>
      </w:r>
      <w:r w:rsidR="00F637DA" w:rsidRPr="004E195C">
        <w:rPr>
          <w:rFonts w:ascii="Times New Roman" w:eastAsia="DaxlinePro-Light" w:hAnsi="Times New Roman" w:cs="Times New Roman"/>
          <w:b/>
          <w:bCs/>
          <w:noProof/>
          <w:sz w:val="24"/>
          <w:szCs w:val="24"/>
        </w:rPr>
        <w:t>/</w:t>
      </w:r>
      <w:r w:rsidR="00841A82">
        <w:rPr>
          <w:rFonts w:ascii="Times New Roman" w:eastAsia="DaxlinePro-Light" w:hAnsi="Times New Roman" w:cs="Times New Roman"/>
          <w:b/>
          <w:bCs/>
          <w:noProof/>
          <w:sz w:val="24"/>
          <w:szCs w:val="24"/>
        </w:rPr>
        <w:t>2</w:t>
      </w:r>
      <w:r w:rsidR="005B5C37">
        <w:rPr>
          <w:rFonts w:ascii="Times New Roman" w:eastAsia="DaxlinePro-Light" w:hAnsi="Times New Roman" w:cs="Times New Roman"/>
          <w:b/>
          <w:bCs/>
          <w:noProof/>
          <w:sz w:val="24"/>
          <w:szCs w:val="24"/>
        </w:rPr>
        <w:t>3</w:t>
      </w:r>
      <w:r w:rsidR="00F637DA" w:rsidRPr="004E195C">
        <w:rPr>
          <w:rFonts w:ascii="Times New Roman" w:eastAsia="DaxlinePro-Light" w:hAnsi="Times New Roman" w:cs="Times New Roman"/>
          <w:b/>
          <w:bCs/>
          <w:noProof/>
          <w:sz w:val="24"/>
          <w:szCs w:val="24"/>
        </w:rPr>
        <w:t>.</w:t>
      </w:r>
      <w:r w:rsidR="005B5C37">
        <w:rPr>
          <w:rFonts w:ascii="Times New Roman" w:eastAsia="DaxlinePro-Light" w:hAnsi="Times New Roman" w:cs="Times New Roman"/>
          <w:b/>
          <w:bCs/>
          <w:noProof/>
          <w:sz w:val="24"/>
          <w:szCs w:val="24"/>
        </w:rPr>
        <w:t>06</w:t>
      </w:r>
      <w:r w:rsidRPr="00680CFA">
        <w:rPr>
          <w:rFonts w:ascii="Times New Roman" w:eastAsia="DaxlinePro-Light" w:hAnsi="Times New Roman" w:cs="Times New Roman"/>
          <w:b/>
          <w:bCs/>
          <w:noProof/>
          <w:sz w:val="24"/>
          <w:szCs w:val="24"/>
          <w:lang w:val="ro-RO"/>
        </w:rPr>
        <w:t>.202</w:t>
      </w:r>
      <w:r w:rsidR="005B5C37">
        <w:rPr>
          <w:rFonts w:ascii="Times New Roman" w:eastAsia="DaxlinePro-Light" w:hAnsi="Times New Roman" w:cs="Times New Roman"/>
          <w:b/>
          <w:bCs/>
          <w:noProof/>
          <w:sz w:val="24"/>
          <w:szCs w:val="24"/>
          <w:lang w:val="ro-RO"/>
        </w:rPr>
        <w:t>3</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41DBB274"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EGMS of the Company that will take place on </w:t>
      </w:r>
      <w:r w:rsidR="00841A82">
        <w:rPr>
          <w:rFonts w:ascii="Times New Roman" w:eastAsia="Calibri" w:hAnsi="Times New Roman" w:cs="Times New Roman"/>
          <w:b/>
          <w:bCs/>
          <w:noProof/>
          <w:sz w:val="24"/>
          <w:szCs w:val="24"/>
        </w:rPr>
        <w:t>2</w:t>
      </w:r>
      <w:r w:rsidR="005B5C37">
        <w:rPr>
          <w:rFonts w:ascii="Times New Roman" w:eastAsia="Calibri" w:hAnsi="Times New Roman" w:cs="Times New Roman"/>
          <w:b/>
          <w:bCs/>
          <w:noProof/>
          <w:sz w:val="24"/>
          <w:szCs w:val="24"/>
        </w:rPr>
        <w:t>2</w:t>
      </w:r>
      <w:r w:rsidR="00CB2EA7" w:rsidRPr="004E195C">
        <w:rPr>
          <w:rFonts w:ascii="Times New Roman" w:eastAsia="DaxlinePro-Light" w:hAnsi="Times New Roman" w:cs="Times New Roman"/>
          <w:b/>
          <w:bCs/>
          <w:noProof/>
          <w:sz w:val="24"/>
          <w:szCs w:val="24"/>
        </w:rPr>
        <w:t xml:space="preserve"> </w:t>
      </w:r>
      <w:r w:rsidR="005B5C37">
        <w:rPr>
          <w:rFonts w:ascii="Times New Roman" w:eastAsia="DaxlinePro-Light" w:hAnsi="Times New Roman" w:cs="Times New Roman"/>
          <w:b/>
          <w:bCs/>
          <w:noProof/>
          <w:sz w:val="24"/>
          <w:szCs w:val="24"/>
        </w:rPr>
        <w:t>June</w:t>
      </w:r>
      <w:r w:rsidR="00CB2EA7" w:rsidRPr="004E195C">
        <w:rPr>
          <w:rFonts w:ascii="Times New Roman" w:eastAsia="DaxlinePro-Light" w:hAnsi="Times New Roman" w:cs="Times New Roman"/>
          <w:b/>
          <w:bCs/>
          <w:noProof/>
          <w:sz w:val="24"/>
          <w:szCs w:val="24"/>
        </w:rPr>
        <w:t xml:space="preserve"> 202</w:t>
      </w:r>
      <w:r w:rsidR="005B5C37">
        <w:rPr>
          <w:rFonts w:ascii="Times New Roman" w:eastAsia="DaxlinePro-Light" w:hAnsi="Times New Roman" w:cs="Times New Roman"/>
          <w:b/>
          <w:bCs/>
          <w:noProof/>
          <w:sz w:val="24"/>
          <w:szCs w:val="24"/>
        </w:rPr>
        <w:t>3</w:t>
      </w:r>
      <w:r w:rsidR="00CB2EA7" w:rsidRPr="004E195C">
        <w:rPr>
          <w:rFonts w:ascii="Times New Roman" w:eastAsia="DaxlinePro-Light" w:hAnsi="Times New Roman" w:cs="Times New Roman"/>
          <w:b/>
          <w:bCs/>
          <w:noProof/>
          <w:sz w:val="24"/>
          <w:szCs w:val="24"/>
        </w:rPr>
        <w:t>, at 11:00 (Romanian time) – the first convocation</w:t>
      </w:r>
      <w:r w:rsidR="00CB2EA7" w:rsidRPr="004E195C">
        <w:rPr>
          <w:rFonts w:ascii="Times New Roman" w:eastAsia="DaxlinePro-Light" w:hAnsi="Times New Roman" w:cs="Times New Roman"/>
          <w:noProof/>
          <w:sz w:val="24"/>
          <w:szCs w:val="24"/>
        </w:rPr>
        <w:t xml:space="preserve"> and, respectively </w:t>
      </w:r>
      <w:r w:rsidR="007248D6" w:rsidRPr="007248D6">
        <w:rPr>
          <w:rFonts w:ascii="Times New Roman" w:eastAsia="DaxlinePro-Light" w:hAnsi="Times New Roman" w:cs="Times New Roman"/>
          <w:b/>
          <w:bCs/>
          <w:noProof/>
          <w:sz w:val="24"/>
          <w:szCs w:val="24"/>
        </w:rPr>
        <w:t>2</w:t>
      </w:r>
      <w:r w:rsidR="005B5C37">
        <w:rPr>
          <w:rFonts w:ascii="Times New Roman" w:eastAsia="DaxlinePro-Light" w:hAnsi="Times New Roman" w:cs="Times New Roman"/>
          <w:b/>
          <w:bCs/>
          <w:noProof/>
          <w:sz w:val="24"/>
          <w:szCs w:val="24"/>
        </w:rPr>
        <w:t>3</w:t>
      </w:r>
      <w:r w:rsidR="00CB2EA7" w:rsidRPr="004E195C">
        <w:rPr>
          <w:rFonts w:ascii="Times New Roman" w:eastAsia="DaxlinePro-Light" w:hAnsi="Times New Roman" w:cs="Times New Roman"/>
          <w:b/>
          <w:bCs/>
          <w:noProof/>
          <w:sz w:val="24"/>
          <w:szCs w:val="24"/>
        </w:rPr>
        <w:t xml:space="preserve"> </w:t>
      </w:r>
      <w:r w:rsidR="005B5C37">
        <w:rPr>
          <w:rFonts w:ascii="Times New Roman" w:eastAsia="DaxlinePro-Light" w:hAnsi="Times New Roman" w:cs="Times New Roman"/>
          <w:b/>
          <w:bCs/>
          <w:noProof/>
          <w:sz w:val="24"/>
          <w:szCs w:val="24"/>
        </w:rPr>
        <w:t>June</w:t>
      </w:r>
      <w:r w:rsidR="00CB2EA7" w:rsidRPr="004E195C">
        <w:rPr>
          <w:rFonts w:ascii="Times New Roman" w:eastAsia="DaxlinePro-Light" w:hAnsi="Times New Roman" w:cs="Times New Roman"/>
          <w:b/>
          <w:bCs/>
          <w:noProof/>
          <w:sz w:val="24"/>
          <w:szCs w:val="24"/>
        </w:rPr>
        <w:t xml:space="preserve"> 202</w:t>
      </w:r>
      <w:r w:rsidR="005B5C37">
        <w:rPr>
          <w:rFonts w:ascii="Times New Roman" w:eastAsia="DaxlinePro-Light" w:hAnsi="Times New Roman" w:cs="Times New Roman"/>
          <w:b/>
          <w:bCs/>
          <w:noProof/>
          <w:sz w:val="24"/>
          <w:szCs w:val="24"/>
        </w:rPr>
        <w:t>3</w:t>
      </w:r>
      <w:r w:rsidR="00CB2EA7" w:rsidRPr="004E195C">
        <w:rPr>
          <w:rFonts w:ascii="Times New Roman" w:eastAsia="DaxlinePro-Light" w:hAnsi="Times New Roman" w:cs="Times New Roman"/>
          <w:b/>
          <w:bCs/>
          <w:noProof/>
          <w:sz w:val="24"/>
          <w:szCs w:val="24"/>
        </w:rPr>
        <w:t>, at 11:00 (Romanian time)</w:t>
      </w:r>
      <w:r w:rsidRPr="00680CFA">
        <w:rPr>
          <w:rFonts w:ascii="Times New Roman" w:eastAsia="DaxlinePro-Light" w:hAnsi="Times New Roman" w:cs="Times New Roman"/>
          <w:b/>
          <w:bCs/>
          <w:noProof/>
          <w:sz w:val="24"/>
          <w:szCs w:val="24"/>
          <w:lang w:val="ro-RO"/>
        </w:rPr>
        <w:t xml:space="preserv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7C66132B"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72FA5DB1" w14:textId="77777777" w:rsidR="00B47DE0" w:rsidRPr="001902FA" w:rsidRDefault="00B47DE0" w:rsidP="00B47DE0">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1902FA">
        <w:rPr>
          <w:rFonts w:ascii="Times New Roman" w:hAnsi="Times New Roman" w:cs="Times New Roman"/>
          <w:b/>
          <w:bCs/>
          <w:noProof/>
          <w:sz w:val="24"/>
          <w:szCs w:val="24"/>
        </w:rPr>
        <w:t xml:space="preserve">Approval </w:t>
      </w:r>
      <w:r w:rsidRPr="001902FA">
        <w:rPr>
          <w:rFonts w:ascii="Times New Roman" w:hAnsi="Times New Roman" w:cs="Times New Roman"/>
          <w:noProof/>
          <w:sz w:val="24"/>
          <w:szCs w:val="24"/>
        </w:rPr>
        <w:t>of the acquisition by the Company of a number of 3,995,999 shares (the “</w:t>
      </w:r>
      <w:r w:rsidRPr="001902FA">
        <w:rPr>
          <w:rFonts w:ascii="Times New Roman" w:hAnsi="Times New Roman" w:cs="Times New Roman"/>
          <w:b/>
          <w:bCs/>
          <w:noProof/>
          <w:sz w:val="24"/>
          <w:szCs w:val="24"/>
        </w:rPr>
        <w:t>Sale Shares</w:t>
      </w:r>
      <w:r w:rsidRPr="001902FA">
        <w:rPr>
          <w:rFonts w:ascii="Times New Roman" w:hAnsi="Times New Roman" w:cs="Times New Roman"/>
          <w:noProof/>
          <w:sz w:val="24"/>
          <w:szCs w:val="24"/>
        </w:rPr>
        <w:t>”), having a nominal value of RON 1 each and a total nominal value of RON 3,995,999 (the “</w:t>
      </w:r>
      <w:r w:rsidRPr="001902FA">
        <w:rPr>
          <w:rFonts w:ascii="Times New Roman" w:hAnsi="Times New Roman" w:cs="Times New Roman"/>
          <w:b/>
          <w:bCs/>
          <w:noProof/>
          <w:sz w:val="24"/>
          <w:szCs w:val="24"/>
        </w:rPr>
        <w:t>Acquisition of ELP Shares</w:t>
      </w:r>
      <w:r w:rsidRPr="001902FA">
        <w:rPr>
          <w:rFonts w:ascii="Times New Roman" w:hAnsi="Times New Roman" w:cs="Times New Roman"/>
          <w:noProof/>
          <w:sz w:val="24"/>
          <w:szCs w:val="24"/>
        </w:rPr>
        <w:t xml:space="preserve">”) held by </w:t>
      </w:r>
      <w:r w:rsidRPr="001902FA">
        <w:rPr>
          <w:rFonts w:ascii="Times New Roman" w:hAnsi="Times New Roman" w:cs="Times New Roman"/>
          <w:b/>
          <w:bCs/>
          <w:noProof/>
          <w:sz w:val="24"/>
          <w:szCs w:val="24"/>
        </w:rPr>
        <w:t>Societatea de Investiții Alternative cu Capital Privat Roca Investments S.A.</w:t>
      </w:r>
      <w:r w:rsidRPr="001902FA">
        <w:rPr>
          <w:rFonts w:ascii="Times New Roman" w:hAnsi="Times New Roman" w:cs="Times New Roman"/>
          <w:noProof/>
          <w:sz w:val="24"/>
          <w:szCs w:val="24"/>
        </w:rPr>
        <w:t>, a joint stock company, incorporated and operating in accordance with the laws of Romania, with registered office located at 4 Gara Herăstrău Street, Bucharest, Building A, 3rd Floor, Module 17, 2</w:t>
      </w:r>
      <w:r w:rsidRPr="001902FA">
        <w:rPr>
          <w:rFonts w:ascii="Times New Roman" w:hAnsi="Times New Roman" w:cs="Times New Roman"/>
          <w:noProof/>
          <w:sz w:val="24"/>
          <w:szCs w:val="24"/>
          <w:vertAlign w:val="superscript"/>
        </w:rPr>
        <w:t>nd</w:t>
      </w:r>
      <w:r w:rsidRPr="001902FA">
        <w:rPr>
          <w:rFonts w:ascii="Times New Roman" w:hAnsi="Times New Roman" w:cs="Times New Roman"/>
          <w:noProof/>
          <w:sz w:val="24"/>
          <w:szCs w:val="24"/>
        </w:rPr>
        <w:t xml:space="preserve"> District, Romania, registered with the Trade Registry under number J40/15602/2017, with sole registration code 38201915 ("</w:t>
      </w:r>
      <w:r w:rsidRPr="001902FA">
        <w:rPr>
          <w:rFonts w:ascii="Times New Roman" w:hAnsi="Times New Roman" w:cs="Times New Roman"/>
          <w:b/>
          <w:bCs/>
          <w:noProof/>
          <w:sz w:val="24"/>
          <w:szCs w:val="24"/>
        </w:rPr>
        <w:t>Roca Investments</w:t>
      </w:r>
      <w:r w:rsidRPr="001902FA">
        <w:rPr>
          <w:rFonts w:ascii="Times New Roman" w:hAnsi="Times New Roman" w:cs="Times New Roman"/>
          <w:noProof/>
          <w:sz w:val="24"/>
          <w:szCs w:val="24"/>
        </w:rPr>
        <w:t xml:space="preserve">"), and representing 99.99997% of the share capital of </w:t>
      </w:r>
      <w:r w:rsidRPr="001902FA">
        <w:rPr>
          <w:rFonts w:ascii="Times New Roman" w:hAnsi="Times New Roman" w:cs="Times New Roman"/>
          <w:b/>
          <w:bCs/>
          <w:noProof/>
          <w:sz w:val="24"/>
          <w:szCs w:val="24"/>
        </w:rPr>
        <w:t>ELECTROPLAST S.A.</w:t>
      </w:r>
      <w:r w:rsidRPr="001902FA">
        <w:rPr>
          <w:rFonts w:ascii="Times New Roman" w:hAnsi="Times New Roman" w:cs="Times New Roman"/>
          <w:noProof/>
          <w:sz w:val="24"/>
          <w:szCs w:val="24"/>
        </w:rPr>
        <w:t>, a joint stock company incorporated and operating in accordance with the laws of Romania, with registered office in Bistrita, 14 Subcetate Street, Bistrita-Nasaud county, registered with the Trade Registry under no. J6/1036/1993, sole registration code 5027384 ("</w:t>
      </w:r>
      <w:r w:rsidRPr="001902FA">
        <w:rPr>
          <w:rFonts w:ascii="Times New Roman" w:hAnsi="Times New Roman" w:cs="Times New Roman"/>
          <w:b/>
          <w:bCs/>
          <w:noProof/>
          <w:sz w:val="24"/>
          <w:szCs w:val="24"/>
        </w:rPr>
        <w:t>ELP</w:t>
      </w:r>
      <w:r w:rsidRPr="001902FA">
        <w:rPr>
          <w:rFonts w:ascii="Times New Roman" w:hAnsi="Times New Roman" w:cs="Times New Roman"/>
          <w:noProof/>
          <w:sz w:val="24"/>
          <w:szCs w:val="24"/>
        </w:rPr>
        <w:t>"), for a price equal to RON 45.750.988,6, established on the basis of an evaluation report prepared by an independent ANEVAR authorized evaluator, and the negotiation, conclusion, execution and delivery by the Company, as purchaser, without limitation, of the following documents in connection with the Acquisition of ELP Shares:</w:t>
      </w:r>
    </w:p>
    <w:p w14:paraId="09E93FEC" w14:textId="77777777" w:rsidR="00B47DE0" w:rsidRPr="001902FA" w:rsidRDefault="00B47DE0" w:rsidP="00B47DE0">
      <w:pPr>
        <w:pStyle w:val="ListParagraph"/>
        <w:numPr>
          <w:ilvl w:val="0"/>
          <w:numId w:val="13"/>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sale and purchase agreement to be entered into by the Company, as purchaser, and Roca Investments, as seller, for the purchase of 3,995,999 shares held by Roca Investments in ELP and representing 99.99997% of the share capital of ELP (the "</w:t>
      </w:r>
      <w:r w:rsidRPr="001902FA">
        <w:rPr>
          <w:rFonts w:ascii="Times New Roman" w:hAnsi="Times New Roman" w:cs="Times New Roman"/>
          <w:b/>
          <w:bCs/>
          <w:noProof/>
          <w:sz w:val="24"/>
          <w:szCs w:val="24"/>
          <w:lang w:val="en-US"/>
        </w:rPr>
        <w:t>SPA</w:t>
      </w:r>
      <w:r w:rsidRPr="001902FA">
        <w:rPr>
          <w:rFonts w:ascii="Times New Roman" w:hAnsi="Times New Roman" w:cs="Times New Roman"/>
          <w:noProof/>
          <w:sz w:val="24"/>
          <w:szCs w:val="24"/>
          <w:lang w:val="en-US"/>
        </w:rPr>
        <w:t xml:space="preserve">"), in accordance with the terms and conditions set out in this EGMS and by the Board of Directors, pursuant to item </w:t>
      </w:r>
      <w:r w:rsidRPr="001902FA">
        <w:rPr>
          <w:rFonts w:ascii="Times New Roman" w:hAnsi="Times New Roman" w:cs="Times New Roman"/>
          <w:noProof/>
          <w:sz w:val="24"/>
          <w:szCs w:val="24"/>
          <w:lang w:val="en-US"/>
        </w:rPr>
        <w:fldChar w:fldCharType="begin"/>
      </w:r>
      <w:r w:rsidRPr="001902FA">
        <w:rPr>
          <w:rFonts w:ascii="Times New Roman" w:hAnsi="Times New Roman" w:cs="Times New Roman"/>
          <w:noProof/>
          <w:sz w:val="24"/>
          <w:szCs w:val="24"/>
          <w:lang w:val="en-US"/>
        </w:rPr>
        <w:instrText xml:space="preserve"> REF _Ref134800001 \r \h </w:instrText>
      </w:r>
      <w:r w:rsidRPr="001902FA">
        <w:rPr>
          <w:rFonts w:ascii="Times New Roman" w:hAnsi="Times New Roman" w:cs="Times New Roman"/>
          <w:noProof/>
          <w:sz w:val="24"/>
          <w:szCs w:val="24"/>
          <w:lang w:val="en-US"/>
        </w:rPr>
      </w:r>
      <w:r w:rsidRPr="001902FA">
        <w:rPr>
          <w:rFonts w:ascii="Times New Roman" w:hAnsi="Times New Roman" w:cs="Times New Roman"/>
          <w:noProof/>
          <w:sz w:val="24"/>
          <w:szCs w:val="24"/>
          <w:lang w:val="en-US"/>
        </w:rPr>
        <w:instrText xml:space="preserve"> \* MERGEFORMAT </w:instrText>
      </w:r>
      <w:r w:rsidRPr="001902FA">
        <w:rPr>
          <w:rFonts w:ascii="Times New Roman" w:hAnsi="Times New Roman" w:cs="Times New Roman"/>
          <w:noProof/>
          <w:sz w:val="24"/>
          <w:szCs w:val="24"/>
          <w:lang w:val="en-US"/>
        </w:rPr>
        <w:fldChar w:fldCharType="separate"/>
      </w:r>
      <w:r w:rsidRPr="001902FA">
        <w:rPr>
          <w:rFonts w:ascii="Times New Roman" w:hAnsi="Times New Roman" w:cs="Times New Roman"/>
          <w:noProof/>
          <w:sz w:val="24"/>
          <w:szCs w:val="24"/>
          <w:lang w:val="en-US"/>
        </w:rPr>
        <w:t>3</w:t>
      </w:r>
      <w:r w:rsidRPr="001902FA">
        <w:rPr>
          <w:rFonts w:ascii="Times New Roman" w:hAnsi="Times New Roman" w:cs="Times New Roman"/>
          <w:noProof/>
          <w:sz w:val="24"/>
          <w:szCs w:val="24"/>
          <w:lang w:val="en-US"/>
        </w:rPr>
        <w:fldChar w:fldCharType="end"/>
      </w:r>
      <w:r w:rsidRPr="001902FA">
        <w:rPr>
          <w:rFonts w:ascii="Times New Roman" w:hAnsi="Times New Roman" w:cs="Times New Roman"/>
          <w:noProof/>
          <w:sz w:val="24"/>
          <w:szCs w:val="24"/>
          <w:lang w:val="en-US"/>
        </w:rPr>
        <w:t xml:space="preserve"> below, within the limits set out in this EGMS;</w:t>
      </w:r>
    </w:p>
    <w:p w14:paraId="5445F482" w14:textId="77777777" w:rsidR="00B47DE0" w:rsidRPr="001902FA" w:rsidRDefault="00B47DE0" w:rsidP="00B47DE0">
      <w:pPr>
        <w:pStyle w:val="ListParagraph"/>
        <w:numPr>
          <w:ilvl w:val="0"/>
          <w:numId w:val="13"/>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to the extent necessary or appropriate under applicable law, the shareholders’ registry, the resolution of the general meeting of shareholders of ELP, and the articles of association of ELP, as updated following the Acquisition of ELP Shares;</w:t>
      </w:r>
    </w:p>
    <w:p w14:paraId="1AC20CC6" w14:textId="77777777" w:rsidR="00B47DE0" w:rsidRPr="001902FA" w:rsidRDefault="00B47DE0" w:rsidP="00B47DE0">
      <w:pPr>
        <w:pStyle w:val="ListParagraph"/>
        <w:numPr>
          <w:ilvl w:val="0"/>
          <w:numId w:val="13"/>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documents, notices, certificates, powers of attorney, fee letters, transfer certificates, deeds of accession, declarations, deeds, waivers, modifications, amendments and any other similar agreements or undertakings and any other documents in connection with the Acquisition of ELP Shares;</w:t>
      </w:r>
    </w:p>
    <w:p w14:paraId="2170D0D6" w14:textId="77777777" w:rsidR="00B47DE0" w:rsidRPr="001902FA" w:rsidRDefault="00B47DE0" w:rsidP="00B47DE0">
      <w:pPr>
        <w:pStyle w:val="ListParagraph"/>
        <w:numPr>
          <w:ilvl w:val="0"/>
          <w:numId w:val="13"/>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and all supplemental agreements, addenda and other similar agreements or undertakings in connection with any documents relating to the Acquisition of ELP Shares; and</w:t>
      </w:r>
    </w:p>
    <w:p w14:paraId="00087178" w14:textId="77777777" w:rsidR="00B47DE0" w:rsidRPr="001902FA" w:rsidRDefault="00B47DE0" w:rsidP="00B47DE0">
      <w:pPr>
        <w:pStyle w:val="ListParagraph"/>
        <w:numPr>
          <w:ilvl w:val="0"/>
          <w:numId w:val="13"/>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any formalities necessary, advisable or desirable to ensure the valid, binding and legally effective nature of the Acquisition of ELP Shares, the SPA and any documents in connection with the Acquisition of ELP Shares or the SPA</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47DE0" w:rsidRPr="001902FA" w14:paraId="4953BBFE"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EF5C642"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5C3BEA0"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174CFC7"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7DE0" w:rsidRPr="001902FA" w14:paraId="3D299779"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C5FC9AE"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1C8D9D8"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15A382B"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FA4CC3A"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703BD403" w14:textId="77777777" w:rsidR="00B47DE0" w:rsidRPr="001902FA" w:rsidRDefault="00B47DE0" w:rsidP="00B47DE0">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of the takeover by the Company, as assignee, of the receivables held by Roca Investments against Electroplast, resulting from the loan agreements concluded by Roca Investments, as creditor, and Electroplast, as debtor, for an assignment price equal to the nominal value of the assigned receivables, up to a maximum amount of RON 12.000.000 (the “</w:t>
      </w:r>
      <w:r w:rsidRPr="001902FA">
        <w:rPr>
          <w:rFonts w:ascii="Times New Roman" w:hAnsi="Times New Roman" w:cs="Times New Roman"/>
          <w:b/>
          <w:bCs/>
          <w:noProof/>
          <w:sz w:val="24"/>
          <w:szCs w:val="24"/>
        </w:rPr>
        <w:t>Assignment of Receivables</w:t>
      </w:r>
      <w:r w:rsidRPr="001902FA">
        <w:rPr>
          <w:rFonts w:ascii="Times New Roman" w:hAnsi="Times New Roman" w:cs="Times New Roman"/>
          <w:noProof/>
          <w:sz w:val="24"/>
          <w:szCs w:val="24"/>
        </w:rPr>
        <w:t xml:space="preserve">"), and the negotiation, execution, performance and delivery by the </w:t>
      </w:r>
      <w:r w:rsidRPr="001902FA">
        <w:rPr>
          <w:rFonts w:ascii="Times New Roman" w:hAnsi="Times New Roman" w:cs="Times New Roman"/>
          <w:noProof/>
          <w:sz w:val="24"/>
          <w:szCs w:val="24"/>
        </w:rPr>
        <w:lastRenderedPageBreak/>
        <w:t>Company, as assignee, without limitation, of the following documents in connection with the Assignment of Receivables:</w:t>
      </w:r>
    </w:p>
    <w:p w14:paraId="42417C8A" w14:textId="77777777" w:rsidR="00B47DE0" w:rsidRPr="001902FA" w:rsidRDefault="00B47DE0" w:rsidP="00B47DE0">
      <w:pPr>
        <w:pStyle w:val="ListParagraph"/>
        <w:numPr>
          <w:ilvl w:val="0"/>
          <w:numId w:val="14"/>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receivables assignment agreement that the Company, as assignee, will enter into with Roca Investments, as assignor, and Electroplast, as assigned debtor, for the assignment of the receivables held by Roca Investments against Electroplast, in the amount of up to RON 12.000.000, for an assignment price equal to the nominal value of the assigned receivables (the "</w:t>
      </w:r>
      <w:r w:rsidRPr="001902FA">
        <w:rPr>
          <w:rFonts w:ascii="Times New Roman" w:hAnsi="Times New Roman" w:cs="Times New Roman"/>
          <w:b/>
          <w:bCs/>
          <w:noProof/>
          <w:sz w:val="24"/>
          <w:szCs w:val="24"/>
          <w:lang w:val="en-US"/>
        </w:rPr>
        <w:t>Assignment Agreement</w:t>
      </w:r>
      <w:r w:rsidRPr="001902FA">
        <w:rPr>
          <w:rFonts w:ascii="Times New Roman" w:hAnsi="Times New Roman" w:cs="Times New Roman"/>
          <w:noProof/>
          <w:sz w:val="24"/>
          <w:szCs w:val="24"/>
          <w:lang w:val="en-US"/>
        </w:rPr>
        <w:t>");</w:t>
      </w:r>
    </w:p>
    <w:p w14:paraId="655380F0" w14:textId="77777777" w:rsidR="00B47DE0" w:rsidRPr="001902FA" w:rsidRDefault="00B47DE0" w:rsidP="00B47DE0">
      <w:pPr>
        <w:pStyle w:val="ListParagraph"/>
        <w:numPr>
          <w:ilvl w:val="0"/>
          <w:numId w:val="14"/>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documents, notices, certificates, powers of attorney, fee letters, transfer certificates, deeds of accession, declarations, deeds, waivers, modifications, amendments and any other similar agreements or undertakings and any other documents in connection with the Assignment of Receivables;</w:t>
      </w:r>
    </w:p>
    <w:p w14:paraId="4F8669FA" w14:textId="77777777" w:rsidR="00B47DE0" w:rsidRPr="001902FA" w:rsidRDefault="00B47DE0" w:rsidP="00B47DE0">
      <w:pPr>
        <w:pStyle w:val="ListParagraph"/>
        <w:numPr>
          <w:ilvl w:val="0"/>
          <w:numId w:val="14"/>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and all supplemental agreements, addenda and other similar agreements or undertakings in connection with any documents relating to the Assignment of Receivables; and</w:t>
      </w:r>
    </w:p>
    <w:p w14:paraId="729C8026" w14:textId="77777777" w:rsidR="00B47DE0" w:rsidRPr="001902FA" w:rsidRDefault="00B47DE0" w:rsidP="00B47DE0">
      <w:pPr>
        <w:pStyle w:val="ListParagraph"/>
        <w:numPr>
          <w:ilvl w:val="0"/>
          <w:numId w:val="14"/>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any formalities necessary, advisable or desirable to ensure the valid, binding and legally effective nature of the Assignment of Receivables, the Assignment Agreement and any documents in connection with the Assignment of Receivables or the Assignment Agreement.</w:t>
      </w:r>
    </w:p>
    <w:tbl>
      <w:tblPr>
        <w:tblW w:w="5035" w:type="dxa"/>
        <w:jc w:val="center"/>
        <w:tblLayout w:type="fixed"/>
        <w:tblLook w:val="0400" w:firstRow="0" w:lastRow="0" w:firstColumn="0" w:lastColumn="0" w:noHBand="0" w:noVBand="1"/>
      </w:tblPr>
      <w:tblGrid>
        <w:gridCol w:w="1345"/>
        <w:gridCol w:w="1710"/>
        <w:gridCol w:w="1980"/>
      </w:tblGrid>
      <w:tr w:rsidR="00B47DE0" w:rsidRPr="001902FA" w14:paraId="038CD7FC"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8ED13F5"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A239C69"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3342C1C"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7DE0" w:rsidRPr="001902FA" w14:paraId="267CE5DE"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D469FA9"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968014F"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60705F9"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08B4945"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1A86AAD2" w14:textId="77777777" w:rsidR="00B47DE0" w:rsidRPr="001902FA" w:rsidRDefault="00B47DE0" w:rsidP="00B47DE0">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bookmarkStart w:id="2" w:name="_Ref134800001"/>
      <w:r w:rsidRPr="001902FA">
        <w:rPr>
          <w:rFonts w:ascii="Times New Roman" w:hAnsi="Times New Roman" w:cs="Times New Roman"/>
          <w:b/>
          <w:bCs/>
          <w:noProof/>
          <w:sz w:val="24"/>
          <w:szCs w:val="24"/>
        </w:rPr>
        <w:t xml:space="preserve">Approval </w:t>
      </w:r>
      <w:r w:rsidRPr="001902FA">
        <w:rPr>
          <w:rFonts w:ascii="Times New Roman" w:hAnsi="Times New Roman" w:cs="Times New Roman"/>
          <w:noProof/>
          <w:sz w:val="24"/>
          <w:szCs w:val="24"/>
        </w:rPr>
        <w:t>of the empowerment of the Board of Directors, in the name and on behalf of the Company, to:</w:t>
      </w:r>
      <w:bookmarkEnd w:id="2"/>
    </w:p>
    <w:p w14:paraId="3B53EA18" w14:textId="77777777" w:rsidR="00B47DE0" w:rsidRPr="001902FA" w:rsidRDefault="00B47DE0" w:rsidP="00B47DE0">
      <w:pPr>
        <w:pStyle w:val="ListParagraph"/>
        <w:numPr>
          <w:ilvl w:val="0"/>
          <w:numId w:val="15"/>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determine and approve the specific terms and conditions of the Acquisition of ELP Shares and the Assignment of Receivables, within the limits approved by this EGMS;</w:t>
      </w:r>
    </w:p>
    <w:p w14:paraId="1D487037" w14:textId="77777777" w:rsidR="00B47DE0" w:rsidRPr="001902FA" w:rsidRDefault="00B47DE0" w:rsidP="00B47DE0">
      <w:pPr>
        <w:pStyle w:val="ListParagraph"/>
        <w:numPr>
          <w:ilvl w:val="0"/>
          <w:numId w:val="15"/>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negotiate, draft, sign, close, deliver, deposit, receive, forward, amend, complete, if applicable, and execute for and on behalf of the Company the SPA, the Assignment Agreement and all documents in connection with the SPA, Assignment Agreement and/or the Acquisition of ELP Shares and/or the Assignment of Receivables;</w:t>
      </w:r>
    </w:p>
    <w:p w14:paraId="7F05AB1E" w14:textId="77777777" w:rsidR="00B47DE0" w:rsidRPr="001902FA" w:rsidRDefault="00B47DE0" w:rsidP="00B47DE0">
      <w:pPr>
        <w:pStyle w:val="ListParagraph"/>
        <w:numPr>
          <w:ilvl w:val="0"/>
          <w:numId w:val="15"/>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completion of all formalities and undertaking of any other administrative, legal or other action necessary, appropriate or advisable to give full effect to the SPA, the Assignment Agreement, the Acquisition of ELP Shares and the Assignment of Receivables; and</w:t>
      </w:r>
    </w:p>
    <w:p w14:paraId="1782A67F" w14:textId="77777777" w:rsidR="00B47DE0" w:rsidRPr="001902FA" w:rsidRDefault="00B47DE0" w:rsidP="00B47DE0">
      <w:pPr>
        <w:pStyle w:val="ListParagraph"/>
        <w:numPr>
          <w:ilvl w:val="0"/>
          <w:numId w:val="15"/>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in general, undertake all acts and deeds necessary or advisable to give full effect to the SPA, the Assignment Agreeemnt and all documents relating to the SPA, the Assignment Agreement and/or the Acquisition of ELP Shares and/or the Assignment of Receivables and/or to comply with the provisions of such documents in order to carry out all of the aforesaid transactions.</w:t>
      </w:r>
    </w:p>
    <w:p w14:paraId="0A3A0EB6" w14:textId="77777777" w:rsidR="00B47DE0" w:rsidRPr="001902FA" w:rsidRDefault="00B47DE0" w:rsidP="00B47DE0">
      <w:pPr>
        <w:spacing w:before="200" w:after="200" w:line="240" w:lineRule="auto"/>
        <w:ind w:left="1260"/>
        <w:jc w:val="both"/>
        <w:rPr>
          <w:rFonts w:ascii="Times New Roman" w:hAnsi="Times New Roman" w:cs="Times New Roman"/>
          <w:noProof/>
          <w:sz w:val="24"/>
          <w:szCs w:val="24"/>
        </w:rPr>
      </w:pPr>
      <w:r w:rsidRPr="001902FA">
        <w:rPr>
          <w:rFonts w:ascii="Times New Roman" w:hAnsi="Times New Roman" w:cs="Times New Roman"/>
          <w:noProof/>
          <w:sz w:val="24"/>
          <w:szCs w:val="24"/>
        </w:rPr>
        <w:t>As regards points ii - iv above, the Board of Directors has the right of sub-delegation to any of the members of the Board of Directors or managers of the Company</w:t>
      </w:r>
    </w:p>
    <w:tbl>
      <w:tblPr>
        <w:tblW w:w="5035" w:type="dxa"/>
        <w:jc w:val="center"/>
        <w:tblLayout w:type="fixed"/>
        <w:tblLook w:val="0400" w:firstRow="0" w:lastRow="0" w:firstColumn="0" w:lastColumn="0" w:noHBand="0" w:noVBand="1"/>
      </w:tblPr>
      <w:tblGrid>
        <w:gridCol w:w="1345"/>
        <w:gridCol w:w="1710"/>
        <w:gridCol w:w="1980"/>
      </w:tblGrid>
      <w:tr w:rsidR="00B47DE0" w:rsidRPr="001902FA" w14:paraId="507067D6"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05314E9"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3E5622B5"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97E6189"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7DE0" w:rsidRPr="001902FA" w14:paraId="704FAC52"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34C56E3"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2ADE349"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3F5306E"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B92C71E"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08ED9129" w14:textId="77777777" w:rsidR="00B47DE0" w:rsidRPr="001902FA" w:rsidRDefault="00B47DE0" w:rsidP="00B47DE0">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4, respectively: </w:t>
      </w:r>
      <w:bookmarkStart w:id="3" w:name="_Ref134799928"/>
      <w:r w:rsidRPr="001902FA">
        <w:rPr>
          <w:rFonts w:ascii="Times New Roman" w:hAnsi="Times New Roman" w:cs="Times New Roman"/>
          <w:b/>
          <w:bCs/>
          <w:noProof/>
          <w:sz w:val="24"/>
          <w:szCs w:val="24"/>
        </w:rPr>
        <w:t xml:space="preserve">Approval </w:t>
      </w:r>
      <w:r w:rsidRPr="001902FA">
        <w:rPr>
          <w:rFonts w:ascii="Times New Roman" w:hAnsi="Times New Roman" w:cs="Times New Roman"/>
          <w:noProof/>
          <w:sz w:val="24"/>
          <w:szCs w:val="24"/>
        </w:rPr>
        <w:t>of the increase of the Company’s share capital with the amount of up to RON 150,000,000 (nominal value) by in cash contribution and/or conversion into shares of certain receivables against the Company, as it will be decided by the Board of Directors (the “</w:t>
      </w:r>
      <w:r w:rsidRPr="001902FA">
        <w:rPr>
          <w:rFonts w:ascii="Times New Roman" w:hAnsi="Times New Roman" w:cs="Times New Roman"/>
          <w:b/>
          <w:bCs/>
          <w:noProof/>
          <w:sz w:val="24"/>
          <w:szCs w:val="24"/>
        </w:rPr>
        <w:t>Share Capital Increase</w:t>
      </w:r>
      <w:r w:rsidRPr="001902FA">
        <w:rPr>
          <w:rFonts w:ascii="Times New Roman" w:hAnsi="Times New Roman" w:cs="Times New Roman"/>
          <w:noProof/>
          <w:sz w:val="24"/>
          <w:szCs w:val="24"/>
        </w:rPr>
        <w:t>”) by issuance of a number of up to 15,000,000 new shares with a nominal value of RON 10 per share and a total nominal value of RON 150,000,000 (the “</w:t>
      </w:r>
      <w:r w:rsidRPr="001902FA">
        <w:rPr>
          <w:rFonts w:ascii="Times New Roman" w:hAnsi="Times New Roman" w:cs="Times New Roman"/>
          <w:b/>
          <w:bCs/>
          <w:noProof/>
          <w:sz w:val="24"/>
          <w:szCs w:val="24"/>
        </w:rPr>
        <w:t>New Shares</w:t>
      </w:r>
      <w:r w:rsidRPr="001902FA">
        <w:rPr>
          <w:rFonts w:ascii="Times New Roman" w:hAnsi="Times New Roman" w:cs="Times New Roman"/>
          <w:noProof/>
          <w:sz w:val="24"/>
          <w:szCs w:val="24"/>
        </w:rPr>
        <w:t>”), as follows:</w:t>
      </w:r>
      <w:bookmarkEnd w:id="3"/>
    </w:p>
    <w:p w14:paraId="1CE67B68" w14:textId="77777777" w:rsidR="00B47DE0" w:rsidRPr="001902FA" w:rsidRDefault="00B47DE0" w:rsidP="00B47DE0">
      <w:pPr>
        <w:pStyle w:val="ListParagraph"/>
        <w:numPr>
          <w:ilvl w:val="0"/>
          <w:numId w:val="16"/>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New Shares will be offered for subscription:</w:t>
      </w:r>
    </w:p>
    <w:p w14:paraId="51191062" w14:textId="77777777" w:rsidR="00B47DE0" w:rsidRPr="001902FA" w:rsidRDefault="00B47DE0" w:rsidP="00B47DE0">
      <w:pPr>
        <w:pStyle w:val="ListParagraph"/>
        <w:numPr>
          <w:ilvl w:val="0"/>
          <w:numId w:val="17"/>
        </w:numPr>
        <w:spacing w:before="200" w:after="200" w:line="240" w:lineRule="auto"/>
        <w:ind w:left="162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during the first phase, to shareholders registered in the Company’s shareholders’ registry held by Depozitarul Central S.A. at the registration date of 12 July 2023, on the basis of their preference rights, as well as to persons who have purchased, preference rights from the Company’s shareholders registered with the Company’s shareholders’ registry held by Depozitarul Central S.A. at the registration date of 12 July 2023, during the period the preference rights are traded, to the extent the offering prospectus prepared in connection with the Share Capital Increase indicates that preference rights will be traded; and</w:t>
      </w:r>
    </w:p>
    <w:p w14:paraId="49966401" w14:textId="77777777" w:rsidR="00B47DE0" w:rsidRPr="001902FA" w:rsidRDefault="00B47DE0" w:rsidP="00B47DE0">
      <w:pPr>
        <w:pStyle w:val="ListParagraph"/>
        <w:numPr>
          <w:ilvl w:val="0"/>
          <w:numId w:val="17"/>
        </w:numPr>
        <w:spacing w:before="200" w:after="200" w:line="240" w:lineRule="auto"/>
        <w:ind w:left="162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during the second phase, any unsubscribed New Shares in the first phase, as described at point </w:t>
      </w:r>
      <w:r w:rsidRPr="001902FA">
        <w:rPr>
          <w:rFonts w:ascii="Times New Roman" w:hAnsi="Times New Roman" w:cs="Times New Roman"/>
          <w:noProof/>
          <w:sz w:val="24"/>
          <w:szCs w:val="24"/>
          <w:cs/>
          <w:lang w:val="en-US"/>
        </w:rPr>
        <w:t>‎</w:t>
      </w:r>
      <w:r w:rsidRPr="001902FA">
        <w:rPr>
          <w:rFonts w:ascii="Times New Roman" w:hAnsi="Times New Roman" w:cs="Times New Roman"/>
          <w:noProof/>
          <w:sz w:val="24"/>
          <w:szCs w:val="24"/>
          <w:lang w:val="en-US"/>
        </w:rPr>
        <w:t>a) above, shall be offered (i) to the Romanian public (the “</w:t>
      </w:r>
      <w:r w:rsidRPr="001902FA">
        <w:rPr>
          <w:rFonts w:ascii="Times New Roman" w:hAnsi="Times New Roman" w:cs="Times New Roman"/>
          <w:b/>
          <w:bCs/>
          <w:noProof/>
          <w:sz w:val="24"/>
          <w:szCs w:val="24"/>
          <w:lang w:val="en-US"/>
        </w:rPr>
        <w:t>Public Offering</w:t>
      </w:r>
      <w:r w:rsidRPr="001902FA">
        <w:rPr>
          <w:rFonts w:ascii="Times New Roman" w:hAnsi="Times New Roman" w:cs="Times New Roman"/>
          <w:noProof/>
          <w:sz w:val="24"/>
          <w:szCs w:val="24"/>
          <w:lang w:val="en-US"/>
        </w:rPr>
        <w:t>”) and / or (ii) via private placements, addressed to investors from the European Union in reliance on the exceptions allowed from the publication of a prospectus, including those provided in article 1 (4), letters (a) - (d) of Regulation (EU) 2017/1129 of the European Parliament and of the Council of 14 June 2017 on the prospectus to be published in the case of a public offering of securities or the admission of securities to trading on a regulated market, and repealing Directive 2003/71/EC ("</w:t>
      </w:r>
      <w:r w:rsidRPr="001902FA">
        <w:rPr>
          <w:rFonts w:ascii="Times New Roman" w:hAnsi="Times New Roman" w:cs="Times New Roman"/>
          <w:b/>
          <w:bCs/>
          <w:noProof/>
          <w:sz w:val="24"/>
          <w:szCs w:val="24"/>
          <w:lang w:val="en-US"/>
        </w:rPr>
        <w:t>Prospectus Regulation</w:t>
      </w:r>
      <w:r w:rsidRPr="001902FA">
        <w:rPr>
          <w:rFonts w:ascii="Times New Roman" w:hAnsi="Times New Roman" w:cs="Times New Roman"/>
          <w:noProof/>
          <w:sz w:val="24"/>
          <w:szCs w:val="24"/>
          <w:lang w:val="en-US"/>
        </w:rPr>
        <w:t>") and/or investors to whom such private placements may be otherwise lawfully addressed to and directed, in reliance of Regulation S (“</w:t>
      </w:r>
      <w:r w:rsidRPr="001902FA">
        <w:rPr>
          <w:rFonts w:ascii="Times New Roman" w:hAnsi="Times New Roman" w:cs="Times New Roman"/>
          <w:b/>
          <w:bCs/>
          <w:noProof/>
          <w:sz w:val="24"/>
          <w:szCs w:val="24"/>
          <w:lang w:val="en-US"/>
        </w:rPr>
        <w:t>Regulation S</w:t>
      </w:r>
      <w:r w:rsidRPr="001902FA">
        <w:rPr>
          <w:rFonts w:ascii="Times New Roman" w:hAnsi="Times New Roman" w:cs="Times New Roman"/>
          <w:noProof/>
          <w:sz w:val="24"/>
          <w:szCs w:val="24"/>
          <w:lang w:val="en-US"/>
        </w:rPr>
        <w:t>”) under the U.S. Securities Act of 1933, as amended (the “</w:t>
      </w:r>
      <w:r w:rsidRPr="001902FA">
        <w:rPr>
          <w:rFonts w:ascii="Times New Roman" w:hAnsi="Times New Roman" w:cs="Times New Roman"/>
          <w:b/>
          <w:bCs/>
          <w:noProof/>
          <w:sz w:val="24"/>
          <w:szCs w:val="24"/>
          <w:lang w:val="en-US"/>
        </w:rPr>
        <w:t>U.S. Securities Act</w:t>
      </w:r>
      <w:r w:rsidRPr="001902FA">
        <w:rPr>
          <w:rFonts w:ascii="Times New Roman" w:hAnsi="Times New Roman" w:cs="Times New Roman"/>
          <w:noProof/>
          <w:sz w:val="24"/>
          <w:szCs w:val="24"/>
          <w:lang w:val="en-US"/>
        </w:rPr>
        <w:t>”) and without the need to undertake any other formalities whatsoever under any applicable law, to the extent, and only provided that, an investment in New Shares does not constitute a violation of any applicable law by such investor (the “</w:t>
      </w:r>
      <w:r w:rsidRPr="001902FA">
        <w:rPr>
          <w:rFonts w:ascii="Times New Roman" w:hAnsi="Times New Roman" w:cs="Times New Roman"/>
          <w:b/>
          <w:bCs/>
          <w:noProof/>
          <w:sz w:val="24"/>
          <w:szCs w:val="24"/>
          <w:lang w:val="en-US"/>
        </w:rPr>
        <w:t>Private Placement</w:t>
      </w:r>
      <w:r w:rsidRPr="001902FA">
        <w:rPr>
          <w:rFonts w:ascii="Times New Roman" w:hAnsi="Times New Roman" w:cs="Times New Roman"/>
          <w:noProof/>
          <w:sz w:val="24"/>
          <w:szCs w:val="24"/>
          <w:lang w:val="en-US"/>
        </w:rPr>
        <w:t>”), in accordance with a decision adopted by the Board of Directors on this matter.</w:t>
      </w:r>
    </w:p>
    <w:p w14:paraId="2987637D" w14:textId="77777777" w:rsidR="00B47DE0" w:rsidRPr="001902FA" w:rsidRDefault="00B47DE0" w:rsidP="00B47DE0">
      <w:pPr>
        <w:pStyle w:val="ListParagraph"/>
        <w:numPr>
          <w:ilvl w:val="0"/>
          <w:numId w:val="16"/>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New Shares remaining unsubscribed after the Public Offering and/ or Private Placement (as the case may be) will be cancelled by decision of the Board of Directors acknowledging the final results of the Share Capital Increase.</w:t>
      </w:r>
    </w:p>
    <w:p w14:paraId="4A00862E" w14:textId="77777777" w:rsidR="00B47DE0" w:rsidRPr="001902FA" w:rsidRDefault="00B47DE0" w:rsidP="00B47DE0">
      <w:pPr>
        <w:pStyle w:val="ListParagraph"/>
        <w:numPr>
          <w:ilvl w:val="0"/>
          <w:numId w:val="16"/>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number of preference rights issued will be equal to the number of shares issued by the Company, as registered in the Company’s shareholders’ registry held by Depozitarul Central S.A., with the registration date of 12 July 2023.</w:t>
      </w:r>
    </w:p>
    <w:p w14:paraId="11286F67" w14:textId="77777777" w:rsidR="00B47DE0" w:rsidRPr="001902FA" w:rsidRDefault="00B47DE0" w:rsidP="00B47DE0">
      <w:pPr>
        <w:pStyle w:val="ListParagraph"/>
        <w:numPr>
          <w:ilvl w:val="0"/>
          <w:numId w:val="16"/>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lastRenderedPageBreak/>
        <w:t>Each shareholder registered in the Company’s shareholders’ registry held by Depozitarul Central S.A. with the registration date of 12 July 2023, shall receive a number of preference rights equal with the number of shares held.</w:t>
      </w:r>
    </w:p>
    <w:p w14:paraId="574669FB" w14:textId="77777777" w:rsidR="00B47DE0" w:rsidRPr="001902FA" w:rsidRDefault="00B47DE0" w:rsidP="00B47DE0">
      <w:pPr>
        <w:pStyle w:val="ListParagraph"/>
        <w:numPr>
          <w:ilvl w:val="0"/>
          <w:numId w:val="16"/>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period for exercising the preference rights shall be of one (1) month (as the case may be, starting after the trading period for the preference rights), being subsequent to the registration date of 12 July 2023.</w:t>
      </w:r>
    </w:p>
    <w:p w14:paraId="435C986D" w14:textId="77777777" w:rsidR="00B47DE0" w:rsidRPr="001902FA" w:rsidRDefault="00B47DE0" w:rsidP="00B47DE0">
      <w:pPr>
        <w:pStyle w:val="ListParagraph"/>
        <w:numPr>
          <w:ilvl w:val="0"/>
          <w:numId w:val="16"/>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For subscription of one New Share, during the period of exercise of preference rights, a person must hold </w:t>
      </w:r>
      <w:r w:rsidRPr="001902FA">
        <w:rPr>
          <w:rFonts w:ascii="Times New Roman" w:eastAsia="Calibri" w:hAnsi="Times New Roman" w:cs="Times New Roman"/>
          <w:noProof/>
          <w:color w:val="000000"/>
          <w:sz w:val="24"/>
          <w:szCs w:val="24"/>
          <w:lang w:val="en-US"/>
        </w:rPr>
        <w:t>1,1796382</w:t>
      </w:r>
      <w:r w:rsidRPr="001902FA" w:rsidDel="004461FF">
        <w:rPr>
          <w:rFonts w:ascii="Times New Roman" w:hAnsi="Times New Roman" w:cs="Times New Roman"/>
          <w:noProof/>
          <w:sz w:val="24"/>
          <w:szCs w:val="24"/>
          <w:lang w:val="en-US"/>
        </w:rPr>
        <w:t xml:space="preserve"> </w:t>
      </w:r>
      <w:r w:rsidRPr="001902FA">
        <w:rPr>
          <w:rFonts w:ascii="Times New Roman" w:hAnsi="Times New Roman" w:cs="Times New Roman"/>
          <w:noProof/>
          <w:sz w:val="24"/>
          <w:szCs w:val="24"/>
          <w:lang w:val="en-US"/>
        </w:rPr>
        <w:t>preference rights (if the case, with any rounding applicable under the regulations in force, including those drawn up by the Central Depository).</w:t>
      </w:r>
    </w:p>
    <w:p w14:paraId="52506A0F" w14:textId="77777777" w:rsidR="00B47DE0" w:rsidRPr="001902FA" w:rsidRDefault="00B47DE0" w:rsidP="00B47DE0">
      <w:pPr>
        <w:pStyle w:val="ListParagraph"/>
        <w:numPr>
          <w:ilvl w:val="0"/>
          <w:numId w:val="16"/>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 shareholder of the Company registered in the Company’s shareholders’ registry held by Depozitarul Central S.A. at the registration date of 12 July 2023 or, as the case may be, a person who has purchased, preference rights from the Company’s shareholders registered with the Company’s shareholders’ registry held by Depozitarul Central S.A. at the registration date of 12 July 2023, during the period the preference rights are traded, may subscribe a maximum number of New Shares calculated by dividing the number of preference rights held by the number of preference rights needed to subscribe one New Share (</w:t>
      </w:r>
      <w:r w:rsidRPr="001902FA">
        <w:rPr>
          <w:rFonts w:ascii="Times New Roman" w:eastAsia="Calibri" w:hAnsi="Times New Roman" w:cs="Times New Roman"/>
          <w:noProof/>
          <w:color w:val="000000"/>
          <w:sz w:val="24"/>
          <w:szCs w:val="24"/>
          <w:lang w:val="en-US"/>
        </w:rPr>
        <w:t>1,1796382</w:t>
      </w:r>
      <w:r w:rsidRPr="001902FA">
        <w:rPr>
          <w:rFonts w:ascii="Times New Roman" w:hAnsi="Times New Roman" w:cs="Times New Roman"/>
          <w:noProof/>
          <w:sz w:val="24"/>
          <w:szCs w:val="24"/>
          <w:lang w:val="en-US"/>
        </w:rPr>
        <w:t>) (if the case, with any rounding applicable under the regulations in force, including those drawn up by the Central Depository).</w:t>
      </w:r>
    </w:p>
    <w:p w14:paraId="7201A0D5" w14:textId="77777777" w:rsidR="00B47DE0" w:rsidRPr="001902FA" w:rsidRDefault="00B47DE0" w:rsidP="00B47DE0">
      <w:pPr>
        <w:pStyle w:val="ListParagraph"/>
        <w:numPr>
          <w:ilvl w:val="0"/>
          <w:numId w:val="16"/>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In case the maximum number of shares that can be subscribed during the period of exercise of preference rights (resulting from applying the above calculations) is not a natural number, the maximum number of shares that can actually be subscribed will be rounded down to the next lower natural number.</w:t>
      </w:r>
    </w:p>
    <w:p w14:paraId="4383EDFC" w14:textId="77777777" w:rsidR="00B47DE0" w:rsidRPr="001902FA" w:rsidRDefault="00B47DE0" w:rsidP="00B47DE0">
      <w:pPr>
        <w:pStyle w:val="ListParagraph"/>
        <w:numPr>
          <w:ilvl w:val="0"/>
          <w:numId w:val="16"/>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Details on the subscription procedure, subscription period, subscription price, payment procedure and method, subscription validation, subscription form etc. regarding New Shares will be included in the prospectus to be approved by the Financial Supervisory Authority in connection with the Share Capital Increase.</w:t>
      </w:r>
    </w:p>
    <w:p w14:paraId="374DB7E3" w14:textId="77777777" w:rsidR="00B47DE0" w:rsidRPr="001902FA" w:rsidRDefault="00B47DE0" w:rsidP="00B47DE0">
      <w:pPr>
        <w:pStyle w:val="ListParagraph"/>
        <w:numPr>
          <w:ilvl w:val="0"/>
          <w:numId w:val="16"/>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The Share Capital Increase has as purpose obtaining funds to finance the current activity of the Company and of the companies that are part of the holding, respectively to finance ongoing projects and/or new projects.</w:t>
      </w:r>
    </w:p>
    <w:tbl>
      <w:tblPr>
        <w:tblW w:w="5035" w:type="dxa"/>
        <w:jc w:val="center"/>
        <w:tblLayout w:type="fixed"/>
        <w:tblLook w:val="0400" w:firstRow="0" w:lastRow="0" w:firstColumn="0" w:lastColumn="0" w:noHBand="0" w:noVBand="1"/>
      </w:tblPr>
      <w:tblGrid>
        <w:gridCol w:w="1345"/>
        <w:gridCol w:w="1710"/>
        <w:gridCol w:w="1980"/>
      </w:tblGrid>
      <w:tr w:rsidR="00B47DE0" w:rsidRPr="001902FA" w14:paraId="5598DDE7"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B94430D"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1DD1D6B"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ABE6796"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7DE0" w:rsidRPr="001902FA" w14:paraId="147AF4A5"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85BCC9"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9A84B00"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85232FD"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C082486"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6F6E0690" w14:textId="77777777" w:rsidR="00B47DE0" w:rsidRPr="001902FA" w:rsidRDefault="00B47DE0" w:rsidP="00B47DE0">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5,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of the admission to trading of the Company's shares on the regulated market administered by Bursa de Valori București S.A. ("</w:t>
      </w:r>
      <w:r w:rsidRPr="001902FA">
        <w:rPr>
          <w:rFonts w:ascii="Times New Roman" w:hAnsi="Times New Roman" w:cs="Times New Roman"/>
          <w:b/>
          <w:bCs/>
          <w:noProof/>
          <w:sz w:val="24"/>
          <w:szCs w:val="24"/>
        </w:rPr>
        <w:t>Listing on the Regulated Market</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47DE0" w:rsidRPr="001902FA" w14:paraId="4D382E13"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AFEB301"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8260E65"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7031B38"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7DE0" w:rsidRPr="001902FA" w14:paraId="4234AE35"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F4C7D1E"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468EF85"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8B99277"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A0BEBF6"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36682BDD" w14:textId="77777777" w:rsidR="00B47DE0" w:rsidRPr="001902FA" w:rsidRDefault="00B47DE0" w:rsidP="00B47DE0">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6,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to empower the Board of Directors to issue any decision and to fulfill all the necessary, useful and / or opportune legal acts and deeds for the fulfillment of the decisions to be adopted by the EGMS regarding the Share Capital Increase and the Listing on the Regulated Market, including regarding the following matters:</w:t>
      </w:r>
    </w:p>
    <w:p w14:paraId="55677B8D" w14:textId="77777777" w:rsidR="00B47DE0" w:rsidRPr="001902FA" w:rsidRDefault="00B47DE0" w:rsidP="00B47DE0">
      <w:pPr>
        <w:pStyle w:val="ListParagraph"/>
        <w:numPr>
          <w:ilvl w:val="0"/>
          <w:numId w:val="18"/>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setting the structure and the duration of the Share Capital Increase operation, negotiating, as well as determining and approving the subscription price within the Share Capital Increase (according to market conditions, as well as approving the other final terms and conditions of the Share Capital Increase), selecting intermediaries for the Share Capital Increase and the Listing on the Regulated Market, ensuring the drafting and publication of any offer prospectus, offer document, as well as negotiating, approving and signing any documents related to the Share Capital Increase and the Listing on the Regulated Market, as the case may be, negotiating and signing any agreements with intermediaries, consultants, expert accountants and valuators, fulfilling any necessary, useful or timely acts and deeds in connection with the above;</w:t>
      </w:r>
    </w:p>
    <w:p w14:paraId="7DFBA7E3" w14:textId="77777777" w:rsidR="00B47DE0" w:rsidRPr="001902FA" w:rsidRDefault="00B47DE0" w:rsidP="00B47DE0">
      <w:pPr>
        <w:pStyle w:val="ListParagraph"/>
        <w:numPr>
          <w:ilvl w:val="0"/>
          <w:numId w:val="18"/>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setting the date, structure and conditions for the admission to trading of the Company’s shares on the regulated market operated by the Bucharest Stock Exchange;</w:t>
      </w:r>
    </w:p>
    <w:p w14:paraId="3A649D3C" w14:textId="77777777" w:rsidR="00B47DE0" w:rsidRPr="001902FA" w:rsidRDefault="00B47DE0" w:rsidP="00B47DE0">
      <w:pPr>
        <w:pStyle w:val="ListParagraph"/>
        <w:numPr>
          <w:ilvl w:val="0"/>
          <w:numId w:val="18"/>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approving any agreements regarding the Share Capital Increase and the Listing on the Regulated Market or any other arrangements, commitments, offer prospectuses, offer documents, any subscription, sales, stabilization, agency, consulting agreements, certificates, statements, registers, notifications, addenda, valuation reports and any other acts and necessary documents, to complete any formalities and to authorize and / or execute any other actions necessary to give full effect to the Share Capital Increase and the Listing on the Regulated Market (including updating the Articles of Association of the Company);</w:t>
      </w:r>
    </w:p>
    <w:p w14:paraId="40F0E4AF" w14:textId="77777777" w:rsidR="00B47DE0" w:rsidRPr="001902FA" w:rsidRDefault="00B47DE0" w:rsidP="00B47DE0">
      <w:pPr>
        <w:pStyle w:val="ListParagraph"/>
        <w:numPr>
          <w:ilvl w:val="0"/>
          <w:numId w:val="18"/>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to authorize representatives of the Company to sign any such documents, to complete any such formalities and to perform any such actions; and</w:t>
      </w:r>
    </w:p>
    <w:p w14:paraId="7481D7E6" w14:textId="77777777" w:rsidR="00B47DE0" w:rsidRPr="001902FA" w:rsidRDefault="00B47DE0" w:rsidP="00B47DE0">
      <w:pPr>
        <w:pStyle w:val="ListParagraph"/>
        <w:numPr>
          <w:ilvl w:val="0"/>
          <w:numId w:val="18"/>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to represent the Company in front of any competent authorities and institutions (such as the Trade Registry, the Financial Supervisory Authority, the Bucharest Stock Exchange, Depozitarul Central S.A.) with respect to the Share Capital Increase and the Listing on the Regulated Market.</w:t>
      </w:r>
    </w:p>
    <w:tbl>
      <w:tblPr>
        <w:tblW w:w="5035" w:type="dxa"/>
        <w:jc w:val="center"/>
        <w:tblLayout w:type="fixed"/>
        <w:tblLook w:val="0400" w:firstRow="0" w:lastRow="0" w:firstColumn="0" w:lastColumn="0" w:noHBand="0" w:noVBand="1"/>
      </w:tblPr>
      <w:tblGrid>
        <w:gridCol w:w="1345"/>
        <w:gridCol w:w="1710"/>
        <w:gridCol w:w="1980"/>
      </w:tblGrid>
      <w:tr w:rsidR="00B47DE0" w:rsidRPr="001902FA" w14:paraId="26F626B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44499F3"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6D2E1CF"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32D9692"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7DE0" w:rsidRPr="001902FA" w14:paraId="60CFAE17"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C3940B5"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B7438FE"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4BB4EED"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A5699F3"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075CC0D8" w14:textId="77777777" w:rsidR="00B47DE0" w:rsidRPr="001902FA" w:rsidRDefault="00B47DE0" w:rsidP="00B47DE0">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7,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of the date of: </w:t>
      </w:r>
    </w:p>
    <w:p w14:paraId="0C5ECF7A" w14:textId="77777777" w:rsidR="00B47DE0" w:rsidRPr="001902FA" w:rsidRDefault="00B47DE0" w:rsidP="00B47DE0">
      <w:pPr>
        <w:pStyle w:val="ListParagraph"/>
        <w:numPr>
          <w:ilvl w:val="0"/>
          <w:numId w:val="19"/>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12 July 2023 as registration date, identifying the shareholders who will benefit from the effects of the resolutions adopted by the EGMS, in accordance with the provisions of art. 87 para. (1) of Law no. 24/2017; </w:t>
      </w:r>
    </w:p>
    <w:p w14:paraId="2C4A26DB" w14:textId="77777777" w:rsidR="00B47DE0" w:rsidRPr="001902FA" w:rsidRDefault="00B47DE0" w:rsidP="00B47DE0">
      <w:pPr>
        <w:pStyle w:val="ListParagraph"/>
        <w:numPr>
          <w:ilvl w:val="0"/>
          <w:numId w:val="19"/>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11 July 2023 as “ex-date”, computed in accordance with the provisions of art. 2 (2) letter (l) of no. Regulation 5/2018;</w:t>
      </w:r>
    </w:p>
    <w:p w14:paraId="33C1677E" w14:textId="77777777" w:rsidR="00B47DE0" w:rsidRPr="001902FA" w:rsidRDefault="00B47DE0" w:rsidP="00B47DE0">
      <w:pPr>
        <w:pStyle w:val="ListParagraph"/>
        <w:numPr>
          <w:ilvl w:val="0"/>
          <w:numId w:val="19"/>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10 July 2023 as the date of guaranteed participation, in accordance with the provisions of art. 2 para. (2) letter j) of Regulation no. 5/2018; and</w:t>
      </w:r>
    </w:p>
    <w:p w14:paraId="1DAC0EA3" w14:textId="77777777" w:rsidR="00B47DE0" w:rsidRPr="001902FA" w:rsidRDefault="00B47DE0" w:rsidP="00B47DE0">
      <w:pPr>
        <w:pStyle w:val="ListParagraph"/>
        <w:numPr>
          <w:ilvl w:val="0"/>
          <w:numId w:val="19"/>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rPr>
        <w:lastRenderedPageBreak/>
        <w:t>13 July 2023 as the date of payment, in accordance with the provisions of art. 2 para. (2) letter h) and of art. 178 of Regulation no. 5/2018.</w:t>
      </w:r>
    </w:p>
    <w:tbl>
      <w:tblPr>
        <w:tblW w:w="5035" w:type="dxa"/>
        <w:jc w:val="center"/>
        <w:tblLayout w:type="fixed"/>
        <w:tblLook w:val="0400" w:firstRow="0" w:lastRow="0" w:firstColumn="0" w:lastColumn="0" w:noHBand="0" w:noVBand="1"/>
      </w:tblPr>
      <w:tblGrid>
        <w:gridCol w:w="1345"/>
        <w:gridCol w:w="1710"/>
        <w:gridCol w:w="1980"/>
      </w:tblGrid>
      <w:tr w:rsidR="00B47DE0" w:rsidRPr="001902FA" w14:paraId="2E7EA9AB"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CBA5017"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29F6A22"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8B763DA"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7DE0" w:rsidRPr="001902FA" w14:paraId="1BBF88C4"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C3FC82E"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5EF7C5B"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F827B44" w14:textId="77777777" w:rsidR="00B47DE0" w:rsidRPr="001902FA" w:rsidRDefault="00B47DE0"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DEE8F5D"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63FE9330" w14:textId="77777777" w:rsidR="00B47DE0" w:rsidRPr="001902FA" w:rsidRDefault="00B47DE0" w:rsidP="00B47DE0">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8, respectively: </w:t>
      </w:r>
      <w:r w:rsidRPr="001902FA">
        <w:rPr>
          <w:rFonts w:ascii="Times New Roman" w:hAnsi="Times New Roman" w:cs="Times New Roman"/>
          <w:b/>
          <w:bCs/>
          <w:noProof/>
          <w:sz w:val="24"/>
          <w:szCs w:val="24"/>
        </w:rPr>
        <w:t>Empowerment</w:t>
      </w:r>
      <w:r w:rsidRPr="001902FA">
        <w:rPr>
          <w:rFonts w:ascii="Times New Roman" w:hAnsi="Times New Roman" w:cs="Times New Roman"/>
          <w:noProof/>
          <w:sz w:val="24"/>
          <w:szCs w:val="24"/>
        </w:rPr>
        <w:t xml:space="preserve"> 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p>
    <w:tbl>
      <w:tblPr>
        <w:tblW w:w="5035" w:type="dxa"/>
        <w:jc w:val="center"/>
        <w:tblLayout w:type="fixed"/>
        <w:tblLook w:val="0400" w:firstRow="0" w:lastRow="0" w:firstColumn="0" w:lastColumn="0" w:noHBand="0" w:noVBand="1"/>
      </w:tblPr>
      <w:tblGrid>
        <w:gridCol w:w="1345"/>
        <w:gridCol w:w="1710"/>
        <w:gridCol w:w="1980"/>
      </w:tblGrid>
      <w:tr w:rsidR="00B47DE0" w:rsidRPr="001902FA" w14:paraId="53BF7244"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8617F51"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F5E08F7"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58AAA99"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7DE0" w:rsidRPr="001902FA" w14:paraId="1359FEDA"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28F8DDD"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8425E76"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52E7C0D" w14:textId="77777777" w:rsidR="00B47DE0" w:rsidRPr="001902FA" w:rsidRDefault="00B47DE0"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E92BC0C"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5E4503CE" w14:textId="77777777" w:rsidR="00B47DE0" w:rsidRPr="001902FA" w:rsidRDefault="00B47DE0" w:rsidP="00B47DE0">
      <w:pPr>
        <w:jc w:val="both"/>
        <w:rPr>
          <w:rFonts w:ascii="Times New Roman" w:hAnsi="Times New Roman" w:cs="Times New Roman"/>
          <w:i/>
          <w:noProof/>
          <w:sz w:val="24"/>
          <w:szCs w:val="24"/>
        </w:rPr>
      </w:pPr>
    </w:p>
    <w:p w14:paraId="28C67A79" w14:textId="36B6794F"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680CFA">
      <w:pPr>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680CFA">
      <w:pPr>
        <w:jc w:val="both"/>
        <w:rPr>
          <w:rFonts w:ascii="Times New Roman" w:hAnsi="Times New Roman" w:cs="Times New Roman"/>
          <w:b/>
          <w:bCs/>
          <w:noProof/>
          <w:sz w:val="24"/>
          <w:szCs w:val="24"/>
          <w:lang w:val="ro-RO"/>
        </w:rPr>
      </w:pPr>
    </w:p>
    <w:p w14:paraId="1DAAFE69" w14:textId="2E1C7446"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680CFA">
        <w:rPr>
          <w:rFonts w:ascii="Times New Roman" w:hAnsi="Times New Roman" w:cs="Times New Roman"/>
          <w:noProof/>
          <w:sz w:val="24"/>
          <w:szCs w:val="24"/>
          <w:lang w:val="ro-RO"/>
        </w:rPr>
        <w:t>;</w:t>
      </w:r>
    </w:p>
    <w:p w14:paraId="43EEB279" w14:textId="44D705D8"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B86A8B">
        <w:rPr>
          <w:rFonts w:ascii="Times New Roman" w:hAnsi="Times New Roman" w:cs="Times New Roman"/>
          <w:noProof/>
          <w:sz w:val="24"/>
          <w:szCs w:val="24"/>
          <w:lang w:val="ro-RO"/>
        </w:rPr>
        <w:t>2</w:t>
      </w:r>
      <w:r w:rsidR="00B47DE0">
        <w:rPr>
          <w:rFonts w:ascii="Times New Roman" w:hAnsi="Times New Roman" w:cs="Times New Roman"/>
          <w:noProof/>
          <w:sz w:val="24"/>
          <w:szCs w:val="24"/>
          <w:lang w:val="ro-RO"/>
        </w:rPr>
        <w:t>0</w:t>
      </w:r>
      <w:r w:rsidR="009767EE">
        <w:rPr>
          <w:rFonts w:ascii="Times New Roman" w:hAnsi="Times New Roman" w:cs="Times New Roman"/>
          <w:noProof/>
          <w:sz w:val="24"/>
          <w:szCs w:val="24"/>
          <w:lang w:val="ro-RO"/>
        </w:rPr>
        <w:t xml:space="preserve"> </w:t>
      </w:r>
      <w:r w:rsidR="00B47DE0">
        <w:rPr>
          <w:rFonts w:ascii="Times New Roman" w:hAnsi="Times New Roman" w:cs="Times New Roman"/>
          <w:noProof/>
          <w:sz w:val="24"/>
          <w:szCs w:val="24"/>
          <w:lang w:val="ro-RO"/>
        </w:rPr>
        <w:t>June</w:t>
      </w:r>
      <w:r w:rsidR="009767EE">
        <w:rPr>
          <w:rFonts w:ascii="Times New Roman" w:hAnsi="Times New Roman" w:cs="Times New Roman"/>
          <w:noProof/>
          <w:sz w:val="24"/>
          <w:szCs w:val="24"/>
          <w:lang w:val="ro-RO"/>
        </w:rPr>
        <w:t xml:space="preserve"> 202</w:t>
      </w:r>
      <w:r w:rsidR="00B47DE0">
        <w:rPr>
          <w:rFonts w:ascii="Times New Roman" w:hAnsi="Times New Roman" w:cs="Times New Roman"/>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8D6F56">
        <w:rPr>
          <w:rFonts w:ascii="Times New Roman" w:hAnsi="Times New Roman" w:cs="Times New Roman"/>
          <w:noProof/>
          <w:sz w:val="24"/>
          <w:szCs w:val="24"/>
          <w:lang w:val="ro-RO"/>
        </w:rPr>
        <w:t>1</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3EA20624"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lastRenderedPageBreak/>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B47DE0">
        <w:rPr>
          <w:rFonts w:ascii="Times New Roman" w:hAnsi="Times New Roman" w:cs="Times New Roman"/>
          <w:b/>
          <w:noProof/>
          <w:sz w:val="24"/>
          <w:szCs w:val="24"/>
          <w:lang w:val="ro-RO"/>
        </w:rPr>
        <w:t>08</w:t>
      </w:r>
      <w:r w:rsidR="008E018F" w:rsidRPr="00680CFA">
        <w:rPr>
          <w:rFonts w:ascii="Times New Roman" w:hAnsi="Times New Roman" w:cs="Times New Roman"/>
          <w:b/>
          <w:noProof/>
          <w:sz w:val="24"/>
          <w:szCs w:val="24"/>
          <w:lang w:val="ro-RO"/>
        </w:rPr>
        <w:t>.</w:t>
      </w:r>
      <w:r w:rsidR="00B47DE0">
        <w:rPr>
          <w:rFonts w:ascii="Times New Roman" w:hAnsi="Times New Roman" w:cs="Times New Roman"/>
          <w:b/>
          <w:noProof/>
          <w:sz w:val="24"/>
          <w:szCs w:val="24"/>
          <w:lang w:val="ro-RO"/>
        </w:rPr>
        <w:t>06</w:t>
      </w:r>
      <w:r w:rsidR="008E018F" w:rsidRPr="00680CFA">
        <w:rPr>
          <w:rFonts w:ascii="Times New Roman" w:hAnsi="Times New Roman" w:cs="Times New Roman"/>
          <w:b/>
          <w:noProof/>
          <w:sz w:val="24"/>
          <w:szCs w:val="24"/>
          <w:lang w:val="ro-RO"/>
        </w:rPr>
        <w:t>.202</w:t>
      </w:r>
      <w:r w:rsidR="00B47DE0">
        <w:rPr>
          <w:rFonts w:ascii="Times New Roman" w:hAnsi="Times New Roman" w:cs="Times New Roman"/>
          <w:b/>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09EAA3FF" w:rsidR="00911C4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911C4E" w:rsidRPr="00680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2"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7"/>
  </w:num>
  <w:num w:numId="3">
    <w:abstractNumId w:val="15"/>
  </w:num>
  <w:num w:numId="4">
    <w:abstractNumId w:val="0"/>
  </w:num>
  <w:num w:numId="5">
    <w:abstractNumId w:val="6"/>
  </w:num>
  <w:num w:numId="6">
    <w:abstractNumId w:val="11"/>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num>
  <w:num w:numId="13">
    <w:abstractNumId w:val="4"/>
  </w:num>
  <w:num w:numId="14">
    <w:abstractNumId w:val="14"/>
  </w:num>
  <w:num w:numId="15">
    <w:abstractNumId w:val="3"/>
  </w:num>
  <w:num w:numId="16">
    <w:abstractNumId w:val="12"/>
  </w:num>
  <w:num w:numId="17">
    <w:abstractNumId w:val="9"/>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96597"/>
    <w:rsid w:val="000A043F"/>
    <w:rsid w:val="000A3D26"/>
    <w:rsid w:val="000D2C91"/>
    <w:rsid w:val="000D68FF"/>
    <w:rsid w:val="001751F5"/>
    <w:rsid w:val="001B1949"/>
    <w:rsid w:val="001B1F03"/>
    <w:rsid w:val="001E25C6"/>
    <w:rsid w:val="002522B8"/>
    <w:rsid w:val="00273FC6"/>
    <w:rsid w:val="0028773C"/>
    <w:rsid w:val="002C4F25"/>
    <w:rsid w:val="003316EE"/>
    <w:rsid w:val="00362149"/>
    <w:rsid w:val="003D1D14"/>
    <w:rsid w:val="004560B7"/>
    <w:rsid w:val="004B13AC"/>
    <w:rsid w:val="004B66F2"/>
    <w:rsid w:val="00537D2D"/>
    <w:rsid w:val="00583F49"/>
    <w:rsid w:val="0058635D"/>
    <w:rsid w:val="005912E4"/>
    <w:rsid w:val="005B5C37"/>
    <w:rsid w:val="005F41E8"/>
    <w:rsid w:val="00604022"/>
    <w:rsid w:val="00611BD3"/>
    <w:rsid w:val="0064771A"/>
    <w:rsid w:val="00680CFA"/>
    <w:rsid w:val="006A3895"/>
    <w:rsid w:val="006F45D3"/>
    <w:rsid w:val="007248D6"/>
    <w:rsid w:val="00752935"/>
    <w:rsid w:val="00755B21"/>
    <w:rsid w:val="007562AF"/>
    <w:rsid w:val="00786382"/>
    <w:rsid w:val="007A6EA5"/>
    <w:rsid w:val="007B7446"/>
    <w:rsid w:val="00841A82"/>
    <w:rsid w:val="0086258D"/>
    <w:rsid w:val="00877277"/>
    <w:rsid w:val="008B2B34"/>
    <w:rsid w:val="008D6F56"/>
    <w:rsid w:val="008E018F"/>
    <w:rsid w:val="008F6C4D"/>
    <w:rsid w:val="009071F2"/>
    <w:rsid w:val="00911C4E"/>
    <w:rsid w:val="0095741B"/>
    <w:rsid w:val="0097621C"/>
    <w:rsid w:val="009767EE"/>
    <w:rsid w:val="00980893"/>
    <w:rsid w:val="00A124D4"/>
    <w:rsid w:val="00A2596D"/>
    <w:rsid w:val="00A747AB"/>
    <w:rsid w:val="00A84DFB"/>
    <w:rsid w:val="00A94337"/>
    <w:rsid w:val="00AD6DB0"/>
    <w:rsid w:val="00AE3280"/>
    <w:rsid w:val="00B1138D"/>
    <w:rsid w:val="00B279F8"/>
    <w:rsid w:val="00B47DE0"/>
    <w:rsid w:val="00B62786"/>
    <w:rsid w:val="00B86A8B"/>
    <w:rsid w:val="00BD7E68"/>
    <w:rsid w:val="00BF083D"/>
    <w:rsid w:val="00CA33C3"/>
    <w:rsid w:val="00CB2EA7"/>
    <w:rsid w:val="00CC0E88"/>
    <w:rsid w:val="00CD17DA"/>
    <w:rsid w:val="00D272B4"/>
    <w:rsid w:val="00E06B58"/>
    <w:rsid w:val="00E968C0"/>
    <w:rsid w:val="00F02395"/>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E044D394-BC34-4052-9DDE-D7E306E08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23</cp:revision>
  <dcterms:created xsi:type="dcterms:W3CDTF">2022-03-25T13:57:00Z</dcterms:created>
  <dcterms:modified xsi:type="dcterms:W3CDTF">2023-05-18T09:17:00Z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