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8472A" w14:textId="77777777" w:rsidR="007A27D7"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p>
    <w:p w14:paraId="2854DAAD"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2ED92D9F"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375A4A04" w14:textId="5A55F65D"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0FEAC13B"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 xml:space="preserve">for the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rdinary General Meeting of Shareholders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4C1DA5AE"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4A73B5">
        <w:rPr>
          <w:rFonts w:ascii="Times New Roman" w:eastAsia="DaxlinePro-Light" w:hAnsi="Times New Roman" w:cs="Times New Roman"/>
          <w:b/>
          <w:bCs/>
          <w:noProof/>
          <w:sz w:val="24"/>
          <w:szCs w:val="24"/>
        </w:rPr>
        <w:t>29</w:t>
      </w:r>
      <w:r w:rsidR="004A73B5" w:rsidRPr="004E195C">
        <w:rPr>
          <w:rFonts w:ascii="Times New Roman" w:eastAsia="DaxlinePro-Light" w:hAnsi="Times New Roman" w:cs="Times New Roman"/>
          <w:b/>
          <w:bCs/>
          <w:noProof/>
          <w:sz w:val="24"/>
          <w:szCs w:val="24"/>
        </w:rPr>
        <w:t>/</w:t>
      </w:r>
      <w:r w:rsidR="004A73B5">
        <w:rPr>
          <w:rFonts w:ascii="Times New Roman" w:eastAsia="DaxlinePro-Light" w:hAnsi="Times New Roman" w:cs="Times New Roman"/>
          <w:b/>
          <w:bCs/>
          <w:noProof/>
          <w:sz w:val="24"/>
          <w:szCs w:val="24"/>
        </w:rPr>
        <w:t>30</w:t>
      </w:r>
      <w:r w:rsidR="004A73B5" w:rsidRPr="004E195C">
        <w:rPr>
          <w:rFonts w:ascii="Times New Roman" w:eastAsia="DaxlinePro-Light" w:hAnsi="Times New Roman" w:cs="Times New Roman"/>
          <w:b/>
          <w:bCs/>
          <w:noProof/>
          <w:sz w:val="24"/>
          <w:szCs w:val="24"/>
        </w:rPr>
        <w:t>.</w:t>
      </w:r>
      <w:r w:rsidR="004A73B5">
        <w:rPr>
          <w:rFonts w:ascii="Times New Roman" w:eastAsia="DaxlinePro-Light" w:hAnsi="Times New Roman" w:cs="Times New Roman"/>
          <w:b/>
          <w:bCs/>
          <w:noProof/>
          <w:sz w:val="24"/>
          <w:szCs w:val="24"/>
        </w:rPr>
        <w:t>04</w:t>
      </w:r>
      <w:r w:rsidR="004A73B5" w:rsidRPr="004E195C">
        <w:rPr>
          <w:rFonts w:ascii="Times New Roman" w:eastAsia="DaxlinePro-Light" w:hAnsi="Times New Roman" w:cs="Times New Roman"/>
          <w:b/>
          <w:bCs/>
          <w:noProof/>
          <w:sz w:val="24"/>
          <w:szCs w:val="24"/>
        </w:rPr>
        <w:t>.202</w:t>
      </w:r>
      <w:r w:rsidR="004A73B5">
        <w:rPr>
          <w:rFonts w:ascii="Times New Roman" w:eastAsia="DaxlinePro-Light" w:hAnsi="Times New Roman" w:cs="Times New Roman"/>
          <w:b/>
          <w:bCs/>
          <w:noProof/>
          <w:sz w:val="24"/>
          <w:szCs w:val="24"/>
        </w:rPr>
        <w:t>4</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71FB12F3"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w:t>
      </w:r>
      <w:r w:rsidR="00B56B27" w:rsidRPr="003E78D8">
        <w:rPr>
          <w:rFonts w:ascii="Times New Roman" w:eastAsia="Calibri" w:hAnsi="Times New Roman" w:cs="Times New Roman"/>
          <w:b/>
          <w:bCs/>
          <w:noProof/>
          <w:sz w:val="24"/>
          <w:szCs w:val="24"/>
        </w:rPr>
        <w:t>OGMS</w:t>
      </w:r>
      <w:r w:rsidR="00B56B27" w:rsidRPr="004E195C">
        <w:rPr>
          <w:rFonts w:ascii="Times New Roman" w:eastAsia="Calibri" w:hAnsi="Times New Roman" w:cs="Times New Roman"/>
          <w:noProof/>
          <w:sz w:val="24"/>
          <w:szCs w:val="24"/>
        </w:rPr>
        <w:t xml:space="preserve"> of the Company that will take place on </w:t>
      </w:r>
      <w:r w:rsidR="00A13DC9">
        <w:rPr>
          <w:rFonts w:ascii="Times New Roman" w:eastAsia="Calibri" w:hAnsi="Times New Roman" w:cs="Times New Roman"/>
          <w:b/>
          <w:bCs/>
          <w:noProof/>
          <w:sz w:val="24"/>
          <w:szCs w:val="24"/>
        </w:rPr>
        <w:t>29</w:t>
      </w:r>
      <w:r w:rsidR="00A13DC9" w:rsidRPr="004E195C">
        <w:rPr>
          <w:rFonts w:ascii="Times New Roman" w:eastAsia="DaxlinePro-Light" w:hAnsi="Times New Roman" w:cs="Times New Roman"/>
          <w:b/>
          <w:bCs/>
          <w:noProof/>
          <w:sz w:val="24"/>
          <w:szCs w:val="24"/>
        </w:rPr>
        <w:t xml:space="preserve"> </w:t>
      </w:r>
      <w:r w:rsidR="00A13DC9">
        <w:rPr>
          <w:rFonts w:ascii="Times New Roman" w:eastAsia="DaxlinePro-Light" w:hAnsi="Times New Roman" w:cs="Times New Roman"/>
          <w:b/>
          <w:bCs/>
          <w:noProof/>
          <w:sz w:val="24"/>
          <w:szCs w:val="24"/>
        </w:rPr>
        <w:t xml:space="preserve">April </w:t>
      </w:r>
      <w:r w:rsidR="00A13DC9" w:rsidRPr="004E195C">
        <w:rPr>
          <w:rFonts w:ascii="Times New Roman" w:eastAsia="DaxlinePro-Light" w:hAnsi="Times New Roman" w:cs="Times New Roman"/>
          <w:b/>
          <w:bCs/>
          <w:noProof/>
          <w:sz w:val="24"/>
          <w:szCs w:val="24"/>
        </w:rPr>
        <w:t>202</w:t>
      </w:r>
      <w:r w:rsidR="00A13DC9">
        <w:rPr>
          <w:rFonts w:ascii="Times New Roman" w:eastAsia="DaxlinePro-Light" w:hAnsi="Times New Roman" w:cs="Times New Roman"/>
          <w:b/>
          <w:bCs/>
          <w:noProof/>
          <w:sz w:val="24"/>
          <w:szCs w:val="24"/>
        </w:rPr>
        <w:t>4</w:t>
      </w:r>
      <w:r w:rsidR="00A13DC9" w:rsidRPr="004E195C">
        <w:rPr>
          <w:rFonts w:ascii="Times New Roman" w:eastAsia="DaxlinePro-Light" w:hAnsi="Times New Roman" w:cs="Times New Roman"/>
          <w:b/>
          <w:bCs/>
          <w:noProof/>
          <w:sz w:val="24"/>
          <w:szCs w:val="24"/>
        </w:rPr>
        <w:t>, at 1</w:t>
      </w:r>
      <w:r w:rsidR="00A13DC9">
        <w:rPr>
          <w:rFonts w:ascii="Times New Roman" w:eastAsia="DaxlinePro-Light" w:hAnsi="Times New Roman" w:cs="Times New Roman"/>
          <w:b/>
          <w:bCs/>
          <w:noProof/>
          <w:sz w:val="24"/>
          <w:szCs w:val="24"/>
        </w:rPr>
        <w:t>5</w:t>
      </w:r>
      <w:r w:rsidR="00A13DC9" w:rsidRPr="004E195C">
        <w:rPr>
          <w:rFonts w:ascii="Times New Roman" w:eastAsia="DaxlinePro-Light" w:hAnsi="Times New Roman" w:cs="Times New Roman"/>
          <w:b/>
          <w:bCs/>
          <w:noProof/>
          <w:sz w:val="24"/>
          <w:szCs w:val="24"/>
        </w:rPr>
        <w:t>:00 (Romanian time) – the first convocation</w:t>
      </w:r>
      <w:r w:rsidR="00A13DC9" w:rsidRPr="004E195C">
        <w:rPr>
          <w:rFonts w:ascii="Times New Roman" w:eastAsia="DaxlinePro-Light" w:hAnsi="Times New Roman" w:cs="Times New Roman"/>
          <w:noProof/>
          <w:sz w:val="24"/>
          <w:szCs w:val="24"/>
        </w:rPr>
        <w:t xml:space="preserve"> and, respectively </w:t>
      </w:r>
      <w:r w:rsidR="00A13DC9">
        <w:rPr>
          <w:rFonts w:ascii="Times New Roman" w:eastAsia="DaxlinePro-Light" w:hAnsi="Times New Roman" w:cs="Times New Roman"/>
          <w:b/>
          <w:bCs/>
          <w:noProof/>
          <w:sz w:val="24"/>
          <w:szCs w:val="24"/>
        </w:rPr>
        <w:t>30</w:t>
      </w:r>
      <w:r w:rsidR="00A13DC9" w:rsidRPr="00993A53">
        <w:rPr>
          <w:rFonts w:ascii="Times New Roman" w:eastAsia="DaxlinePro-Light" w:hAnsi="Times New Roman" w:cs="Times New Roman"/>
          <w:b/>
          <w:bCs/>
          <w:noProof/>
          <w:sz w:val="24"/>
          <w:szCs w:val="24"/>
        </w:rPr>
        <w:t xml:space="preserve"> </w:t>
      </w:r>
      <w:r w:rsidR="00A13DC9">
        <w:rPr>
          <w:rFonts w:ascii="Times New Roman" w:eastAsia="DaxlinePro-Light" w:hAnsi="Times New Roman" w:cs="Times New Roman"/>
          <w:b/>
          <w:bCs/>
          <w:noProof/>
          <w:sz w:val="24"/>
          <w:szCs w:val="24"/>
        </w:rPr>
        <w:t xml:space="preserve">April </w:t>
      </w:r>
      <w:r w:rsidR="00A13DC9" w:rsidRPr="004E195C">
        <w:rPr>
          <w:rFonts w:ascii="Times New Roman" w:eastAsia="DaxlinePro-Light" w:hAnsi="Times New Roman" w:cs="Times New Roman"/>
          <w:b/>
          <w:bCs/>
          <w:noProof/>
          <w:sz w:val="24"/>
          <w:szCs w:val="24"/>
        </w:rPr>
        <w:t>202</w:t>
      </w:r>
      <w:r w:rsidR="00A13DC9">
        <w:rPr>
          <w:rFonts w:ascii="Times New Roman" w:eastAsia="DaxlinePro-Light" w:hAnsi="Times New Roman" w:cs="Times New Roman"/>
          <w:b/>
          <w:bCs/>
          <w:noProof/>
          <w:sz w:val="24"/>
          <w:szCs w:val="24"/>
        </w:rPr>
        <w:t>4</w:t>
      </w:r>
      <w:r w:rsidR="00A13DC9" w:rsidRPr="004E195C">
        <w:rPr>
          <w:rFonts w:ascii="Times New Roman" w:eastAsia="DaxlinePro-Light" w:hAnsi="Times New Roman" w:cs="Times New Roman"/>
          <w:b/>
          <w:bCs/>
          <w:noProof/>
          <w:sz w:val="24"/>
          <w:szCs w:val="24"/>
        </w:rPr>
        <w:t>, at 1</w:t>
      </w:r>
      <w:r w:rsidR="00A13DC9">
        <w:rPr>
          <w:rFonts w:ascii="Times New Roman" w:eastAsia="DaxlinePro-Light" w:hAnsi="Times New Roman" w:cs="Times New Roman"/>
          <w:b/>
          <w:bCs/>
          <w:noProof/>
          <w:sz w:val="24"/>
          <w:szCs w:val="24"/>
        </w:rPr>
        <w:t>5</w:t>
      </w:r>
      <w:r w:rsidR="00A13DC9" w:rsidRPr="004E195C">
        <w:rPr>
          <w:rFonts w:ascii="Times New Roman" w:eastAsia="DaxlinePro-Light" w:hAnsi="Times New Roman" w:cs="Times New Roman"/>
          <w:b/>
          <w:bCs/>
          <w:noProof/>
          <w:sz w:val="24"/>
          <w:szCs w:val="24"/>
        </w:rPr>
        <w:t xml:space="preserve">:00 (Romanian time) </w:t>
      </w:r>
      <w:r w:rsidR="00B56B27" w:rsidRPr="004E195C">
        <w:rPr>
          <w:rFonts w:ascii="Times New Roman" w:eastAsia="DaxlinePro-Light" w:hAnsi="Times New Roman" w:cs="Times New Roman"/>
          <w:noProof/>
          <w:sz w:val="24"/>
          <w:szCs w:val="24"/>
        </w:rPr>
        <w:t>– 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875A9">
        <w:rPr>
          <w:rFonts w:ascii="Times New Roman" w:eastAsia="DaxlinePro-Light" w:hAnsi="Times New Roman" w:cs="Times New Roman"/>
          <w:noProof/>
          <w:sz w:val="24"/>
          <w:szCs w:val="24"/>
          <w:lang w:val="en-US"/>
        </w:rPr>
        <w:t>O</w:t>
      </w:r>
      <w:r w:rsidR="008F1B5C" w:rsidRPr="00171A79">
        <w:rPr>
          <w:rFonts w:ascii="Times New Roman" w:eastAsia="DaxlinePro-Light" w:hAnsi="Times New Roman" w:cs="Times New Roman"/>
          <w:noProof/>
          <w:sz w:val="24"/>
          <w:szCs w:val="24"/>
          <w:lang w:val="en-US"/>
        </w:rPr>
        <w:t>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3A9680EE" w14:textId="77777777" w:rsidR="00743A2C" w:rsidRPr="009A3192" w:rsidRDefault="00743A2C" w:rsidP="00743A2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Pr>
          <w:rFonts w:ascii="Times New Roman" w:eastAsia="DaxlinePro-Light" w:hAnsi="Times New Roman" w:cs="Times New Roman"/>
          <w:b/>
          <w:bCs/>
          <w:iCs/>
          <w:noProof/>
          <w:sz w:val="24"/>
          <w:szCs w:val="24"/>
        </w:rPr>
        <w:t>Approval</w:t>
      </w:r>
      <w:r w:rsidRPr="009A3192">
        <w:rPr>
          <w:rFonts w:ascii="Times New Roman" w:eastAsia="DaxlinePro-Light" w:hAnsi="Times New Roman" w:cs="Times New Roman"/>
          <w:b/>
          <w:bCs/>
          <w:iCs/>
          <w:noProof/>
          <w:sz w:val="24"/>
          <w:szCs w:val="24"/>
        </w:rPr>
        <w:t xml:space="preserve"> </w:t>
      </w:r>
      <w:r w:rsidRPr="009A3192">
        <w:rPr>
          <w:rFonts w:ascii="Times New Roman" w:eastAsia="DaxlinePro-Light" w:hAnsi="Times New Roman" w:cs="Times New Roman"/>
          <w:iCs/>
          <w:noProof/>
          <w:sz w:val="24"/>
          <w:szCs w:val="24"/>
        </w:rPr>
        <w:t>of</w:t>
      </w:r>
      <w:r w:rsidRPr="00985E56">
        <w:rPr>
          <w:rFonts w:ascii="Times New Roman" w:eastAsia="DaxlinePro-Light" w:hAnsi="Times New Roman" w:cs="Times New Roman"/>
          <w:iCs/>
          <w:noProof/>
          <w:sz w:val="24"/>
          <w:szCs w:val="24"/>
        </w:rPr>
        <w:t xml:space="preserve"> the Company's income and expenditure budget for the financial year 2024, at individual level</w:t>
      </w:r>
      <w:r w:rsidRPr="009A3192">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60DC5F21"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C9C655"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3CA8E75"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CC807B4"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1A911DCC"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3A4D8F"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4BE0EE3"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A4DED2F"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C30E4C3"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41FFEE49" w14:textId="77777777" w:rsidR="00743A2C" w:rsidRPr="004E195C" w:rsidRDefault="00743A2C" w:rsidP="00743A2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5E5F6B">
        <w:rPr>
          <w:rFonts w:ascii="Times New Roman" w:eastAsia="DaxlinePro-Light" w:hAnsi="Times New Roman" w:cs="Times New Roman"/>
          <w:iCs/>
          <w:noProof/>
          <w:sz w:val="24"/>
          <w:szCs w:val="24"/>
        </w:rPr>
        <w:t>of the Company's income and expenditure budget for the financial year 2024, at consolidated level</w:t>
      </w:r>
      <w:r w:rsidRPr="00725B18">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44D15B06"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045662"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472BA2D"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05D429C"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675D9E96"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E9DD4DD"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7FBFA66"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8C20C46"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D99D370"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7EA82BFB" w14:textId="77777777" w:rsidR="00743A2C" w:rsidRPr="005E7DF3" w:rsidRDefault="00743A2C" w:rsidP="00743A2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8F4379">
        <w:rPr>
          <w:rFonts w:ascii="Times New Roman" w:eastAsia="DaxlinePro-Light" w:hAnsi="Times New Roman" w:cs="Times New Roman"/>
          <w:iCs/>
          <w:noProof/>
          <w:sz w:val="24"/>
          <w:szCs w:val="24"/>
        </w:rPr>
        <w:t>of the standalone financial statements of the Company prepared in accordance with Order of the Ministry of Public Finances No. 1802/2014, for the financial year 2023 and consisting of the balance sheet, income statement, statement of changes in equity, cash flow statement, accounting policies and explanatory notes, based on the 2023 Directors’ Report and the Report of the Independent Auditor for 2023</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6C5C4AD2"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E6775C8"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21E4F39"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D2282D"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704300E2"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BAF3986"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C3E9E6C"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9507FC9"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585C726"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18499DA5" w14:textId="77777777" w:rsidR="00743A2C" w:rsidRPr="005E7DF3" w:rsidRDefault="00743A2C" w:rsidP="00743A2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C13691">
        <w:rPr>
          <w:rFonts w:ascii="Times New Roman" w:eastAsia="DaxlinePro-Light" w:hAnsi="Times New Roman" w:cs="Times New Roman"/>
          <w:iCs/>
          <w:noProof/>
          <w:sz w:val="24"/>
          <w:szCs w:val="24"/>
        </w:rPr>
        <w:t>of 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balance sheet, the income statement, the statement of changes in equity, the cash flow statement, the accounting policies, as well as the explanatory notes, based on the 2023 Directors’ Report and the Independent Auditor's Report for 2023</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2EC342E0"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644D9C4"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A62F7DC"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1CBB3F2"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4DED79E1"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E95DE0"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AC30D53"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7E316C6"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A697F50"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0EC85BB0" w14:textId="77777777" w:rsidR="00743A2C" w:rsidRPr="005E7DF3" w:rsidRDefault="00743A2C" w:rsidP="00743A2C">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5C5EE3">
        <w:rPr>
          <w:rFonts w:ascii="Times New Roman" w:eastAsia="DaxlinePro-Light" w:hAnsi="Times New Roman" w:cs="Times New Roman"/>
          <w:iCs/>
          <w:noProof/>
          <w:sz w:val="24"/>
          <w:szCs w:val="24"/>
        </w:rPr>
        <w:t>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consolidated balance sheet, the consolidated income statement, the statement of changes in consolidated equity, the consolidated cash flow statement, the accounting policies, as well as the explanatory notes, based on the 2023 Directors’ Report and the Independent Auditor's Report for 2023</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722F5E01"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F2F1EBC"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DBAE219"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5809DB7"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14CFC6C0"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36351E"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0A070FB"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1AFFAF"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20875FE"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2518E7E1" w14:textId="77777777" w:rsidR="00743A2C" w:rsidRPr="009C6FB7" w:rsidRDefault="00743A2C" w:rsidP="00743A2C">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9C6FB7">
        <w:rPr>
          <w:rFonts w:ascii="Times New Roman" w:eastAsia="DaxlinePro-Light" w:hAnsi="Times New Roman" w:cs="Times New Roman"/>
          <w:iCs/>
          <w:noProof/>
          <w:sz w:val="24"/>
          <w:szCs w:val="24"/>
        </w:rPr>
        <w:t>of the allocation of the net profit for the year 2023, as per the individual financial statements of the Company prepared in accordance with Order of the Ministry of Public Finance no. 1802/2014, in the amount of 3,265,950.82 lei as follows:</w:t>
      </w:r>
    </w:p>
    <w:p w14:paraId="47845EAE" w14:textId="77777777" w:rsidR="00743A2C" w:rsidRPr="009C6FB7" w:rsidRDefault="00743A2C" w:rsidP="00743A2C">
      <w:pPr>
        <w:keepNext/>
        <w:keepLines/>
        <w:widowControl w:val="0"/>
        <w:jc w:val="both"/>
        <w:rPr>
          <w:rFonts w:ascii="Times New Roman" w:eastAsia="DaxlinePro-Light" w:hAnsi="Times New Roman" w:cs="Times New Roman"/>
          <w:iCs/>
          <w:noProof/>
          <w:sz w:val="24"/>
          <w:szCs w:val="24"/>
        </w:rPr>
      </w:pPr>
      <w:r w:rsidRPr="009C6FB7">
        <w:rPr>
          <w:rFonts w:ascii="Times New Roman" w:eastAsia="DaxlinePro-Light" w:hAnsi="Times New Roman" w:cs="Times New Roman"/>
          <w:iCs/>
          <w:noProof/>
          <w:sz w:val="24"/>
          <w:szCs w:val="24"/>
        </w:rPr>
        <w:t>- for the constitution of the legal reserve - 163,298 lei;</w:t>
      </w:r>
    </w:p>
    <w:p w14:paraId="3C311F0A" w14:textId="77777777" w:rsidR="00743A2C" w:rsidRPr="005E7DF3" w:rsidRDefault="00743A2C" w:rsidP="00743A2C">
      <w:pPr>
        <w:keepNext/>
        <w:keepLines/>
        <w:widowControl w:val="0"/>
        <w:jc w:val="both"/>
        <w:rPr>
          <w:rFonts w:ascii="Times New Roman" w:eastAsia="DaxlinePro-Light" w:hAnsi="Times New Roman" w:cs="Times New Roman"/>
          <w:iCs/>
          <w:noProof/>
          <w:sz w:val="24"/>
          <w:szCs w:val="24"/>
        </w:rPr>
      </w:pPr>
      <w:r w:rsidRPr="009C6FB7">
        <w:rPr>
          <w:rFonts w:ascii="Times New Roman" w:eastAsia="DaxlinePro-Light" w:hAnsi="Times New Roman" w:cs="Times New Roman"/>
          <w:iCs/>
          <w:noProof/>
          <w:sz w:val="24"/>
          <w:szCs w:val="24"/>
        </w:rPr>
        <w:t>- for covering losses from previous years – 3</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102</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652</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82 lei</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2087F513"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7224996" w14:textId="77777777" w:rsidR="00743A2C" w:rsidRPr="004E195C" w:rsidRDefault="00743A2C" w:rsidP="00743A2C">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96DE34C" w14:textId="77777777" w:rsidR="00743A2C" w:rsidRPr="004E195C" w:rsidRDefault="00743A2C" w:rsidP="00743A2C">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7B5B25A" w14:textId="77777777" w:rsidR="00743A2C" w:rsidRPr="004E195C" w:rsidRDefault="00743A2C" w:rsidP="00743A2C">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1F13262B"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D18D3B"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423D42A"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D8F5741"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CABF306"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59B0769C" w14:textId="77777777" w:rsidR="00743A2C" w:rsidRPr="005E7DF3" w:rsidRDefault="00743A2C" w:rsidP="00743A2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DF68A2">
        <w:rPr>
          <w:rFonts w:ascii="Times New Roman" w:eastAsia="DaxlinePro-Light" w:hAnsi="Times New Roman" w:cs="Times New Roman"/>
          <w:iCs/>
          <w:noProof/>
          <w:sz w:val="24"/>
          <w:szCs w:val="24"/>
        </w:rPr>
        <w:t>of the discharge of the members of the Board of Directors of Roca Industry for the financial year 2023</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26802889"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883FDBE"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A1C3F"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B0A5589"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68B2AFA5"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9FD95A"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8621369"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58F6217"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A093BFD"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57B4B6F6" w14:textId="77777777" w:rsidR="00743A2C" w:rsidRPr="005E7DF3" w:rsidRDefault="00743A2C" w:rsidP="00743A2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8</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7D295F">
        <w:rPr>
          <w:rFonts w:ascii="Times New Roman" w:eastAsia="DaxlinePro-Light" w:hAnsi="Times New Roman" w:cs="Times New Roman"/>
          <w:iCs/>
          <w:noProof/>
          <w:sz w:val="24"/>
          <w:szCs w:val="24"/>
        </w:rPr>
        <w:t>of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05FF1CED"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1358567"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D4BB2AF"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C12BD90"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46A7ADF3"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7055AE2"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37C5F14"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55846FA"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9C927E8"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76391FAE" w14:textId="77777777" w:rsidR="00743A2C" w:rsidRPr="009918DE" w:rsidRDefault="00743A2C" w:rsidP="00743A2C">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9</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9918DE">
        <w:rPr>
          <w:rFonts w:ascii="Times New Roman" w:eastAsia="DaxlinePro-Light" w:hAnsi="Times New Roman" w:cs="Times New Roman"/>
          <w:iCs/>
          <w:noProof/>
          <w:sz w:val="24"/>
          <w:szCs w:val="24"/>
        </w:rPr>
        <w:t>of the initiation and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actual transfer of shares from the Company to the employees, etc..</w:t>
      </w:r>
    </w:p>
    <w:p w14:paraId="08815A63" w14:textId="77777777" w:rsidR="00743A2C" w:rsidRPr="005E7DF3" w:rsidRDefault="00743A2C" w:rsidP="00743A2C">
      <w:pPr>
        <w:keepNext/>
        <w:keepLines/>
        <w:widowControl w:val="0"/>
        <w:jc w:val="both"/>
        <w:rPr>
          <w:rFonts w:ascii="Times New Roman" w:eastAsia="DaxlinePro-Light" w:hAnsi="Times New Roman" w:cs="Times New Roman"/>
          <w:iCs/>
          <w:noProof/>
          <w:sz w:val="24"/>
          <w:szCs w:val="24"/>
        </w:rPr>
      </w:pPr>
      <w:r w:rsidRPr="009918DE">
        <w:rPr>
          <w:rFonts w:ascii="Times New Roman" w:eastAsia="DaxlinePro-Light" w:hAnsi="Times New Roman" w:cs="Times New Roman"/>
          <w:iCs/>
          <w:noProof/>
          <w:sz w:val="24"/>
          <w:szCs w:val="24"/>
        </w:rPr>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5BC6A72D"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D7944E" w14:textId="77777777" w:rsidR="00743A2C" w:rsidRPr="004E195C" w:rsidRDefault="00743A2C" w:rsidP="00743A2C">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C61566A" w14:textId="77777777" w:rsidR="00743A2C" w:rsidRPr="004E195C" w:rsidRDefault="00743A2C" w:rsidP="00743A2C">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D3D17CB" w14:textId="77777777" w:rsidR="00743A2C" w:rsidRPr="004E195C" w:rsidRDefault="00743A2C" w:rsidP="00743A2C">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3075DB93"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F0860DB"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F78A6E6"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2A78A6A"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47572CA"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538383D6" w14:textId="77777777" w:rsidR="00743A2C" w:rsidRPr="005E7DF3" w:rsidRDefault="00743A2C" w:rsidP="00743A2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10</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w:t>
      </w:r>
      <w:r w:rsidRPr="00725B18">
        <w:rPr>
          <w:rFonts w:ascii="Times New Roman" w:eastAsia="DaxlinePro-Light" w:hAnsi="Times New Roman" w:cs="Times New Roman"/>
          <w:b/>
          <w:bCs/>
          <w:iCs/>
          <w:noProof/>
          <w:sz w:val="24"/>
          <w:szCs w:val="24"/>
        </w:rPr>
        <w:t xml:space="preserve"> </w:t>
      </w:r>
      <w:r w:rsidRPr="008600D5">
        <w:rPr>
          <w:rFonts w:ascii="Times New Roman" w:eastAsia="DaxlinePro-Light" w:hAnsi="Times New Roman" w:cs="Times New Roman"/>
          <w:iCs/>
          <w:noProof/>
          <w:sz w:val="24"/>
          <w:szCs w:val="24"/>
        </w:rPr>
        <w:t>for the above operations, of the Reference Date (proposal: 28.05.2024), the ex-date (proposal: 27.05.2024)</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5890E5C4"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7A7DDD"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23B494C"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777C36C"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0462D342"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9CB80BF"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F16F27C"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E614362"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E4F377C"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301FC21F" w14:textId="77777777" w:rsidR="00743A2C" w:rsidRPr="008A2E5D" w:rsidRDefault="00743A2C" w:rsidP="00743A2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11</w:t>
      </w:r>
      <w:r w:rsidRPr="004E195C">
        <w:rPr>
          <w:rFonts w:ascii="Times New Roman" w:eastAsia="DaxlinePro-Light" w:hAnsi="Times New Roman" w:cs="Times New Roman"/>
          <w:b/>
          <w:bCs/>
          <w:iCs/>
          <w:noProof/>
          <w:sz w:val="24"/>
          <w:szCs w:val="24"/>
        </w:rPr>
        <w:t xml:space="preserve">, respectively: </w:t>
      </w:r>
      <w:r w:rsidRPr="008A2E5D">
        <w:rPr>
          <w:rFonts w:ascii="Times New Roman" w:eastAsia="DaxlinePro-Light" w:hAnsi="Times New Roman" w:cs="Times New Roman"/>
          <w:b/>
          <w:bCs/>
          <w:iCs/>
          <w:noProof/>
          <w:sz w:val="24"/>
          <w:szCs w:val="24"/>
        </w:rPr>
        <w:t>11.</w:t>
      </w:r>
      <w:r w:rsidRPr="008A2E5D">
        <w:rPr>
          <w:rFonts w:ascii="Times New Roman" w:eastAsia="DaxlinePro-Light" w:hAnsi="Times New Roman" w:cs="Times New Roman"/>
          <w:b/>
          <w:bCs/>
          <w:iCs/>
          <w:noProof/>
          <w:sz w:val="24"/>
          <w:szCs w:val="24"/>
        </w:rPr>
        <w:tab/>
        <w:t xml:space="preserve">Empowerment </w:t>
      </w:r>
      <w:r w:rsidRPr="008A2E5D">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tbl>
      <w:tblPr>
        <w:tblW w:w="5035" w:type="dxa"/>
        <w:jc w:val="center"/>
        <w:tblLayout w:type="fixed"/>
        <w:tblLook w:val="0400" w:firstRow="0" w:lastRow="0" w:firstColumn="0" w:lastColumn="0" w:noHBand="0" w:noVBand="1"/>
      </w:tblPr>
      <w:tblGrid>
        <w:gridCol w:w="1345"/>
        <w:gridCol w:w="1710"/>
        <w:gridCol w:w="1980"/>
      </w:tblGrid>
      <w:tr w:rsidR="00743A2C" w:rsidRPr="004E195C" w14:paraId="1404529D"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138BA17"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847A818"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0089335"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3A2C" w:rsidRPr="004E195C" w14:paraId="76E24AB6"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E21C58"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165FE22"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0D357F5" w14:textId="77777777" w:rsidR="00743A2C" w:rsidRPr="004E195C" w:rsidRDefault="00743A2C"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25919EE" w14:textId="77777777" w:rsidR="00743A2C" w:rsidRPr="004E195C" w:rsidRDefault="00743A2C" w:rsidP="00743A2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2E48D513"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w:t>
      </w:r>
      <w:r w:rsidRPr="00171A79">
        <w:rPr>
          <w:rFonts w:ascii="Times New Roman" w:eastAsia="DaxlinePro-Light" w:hAnsi="Times New Roman" w:cs="Times New Roman"/>
          <w:noProof/>
          <w:sz w:val="24"/>
          <w:szCs w:val="24"/>
          <w:lang w:val="en-US"/>
        </w:rPr>
        <w:lastRenderedPageBreak/>
        <w:t xml:space="preserve">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743A2C">
        <w:rPr>
          <w:rFonts w:ascii="Times New Roman" w:eastAsia="DaxlinePro-Light" w:hAnsi="Times New Roman" w:cs="Times New Roman"/>
          <w:b/>
          <w:bCs/>
          <w:noProof/>
          <w:sz w:val="24"/>
          <w:szCs w:val="24"/>
          <w:lang w:val="en-US"/>
        </w:rPr>
        <w:t>18</w:t>
      </w:r>
      <w:r w:rsidR="00976EC1" w:rsidRPr="00976EC1">
        <w:rPr>
          <w:rFonts w:ascii="Times New Roman" w:eastAsia="DaxlinePro-Light" w:hAnsi="Times New Roman" w:cs="Times New Roman"/>
          <w:b/>
          <w:bCs/>
          <w:noProof/>
          <w:sz w:val="24"/>
          <w:szCs w:val="24"/>
          <w:lang w:val="en-US"/>
        </w:rPr>
        <w:t>.</w:t>
      </w:r>
      <w:r w:rsidR="00976EC1">
        <w:rPr>
          <w:rFonts w:ascii="Times New Roman" w:eastAsia="DaxlinePro-Light" w:hAnsi="Times New Roman" w:cs="Times New Roman"/>
          <w:b/>
          <w:bCs/>
          <w:noProof/>
          <w:sz w:val="24"/>
          <w:szCs w:val="24"/>
          <w:lang w:val="en-US"/>
        </w:rPr>
        <w:t>0</w:t>
      </w:r>
      <w:r w:rsidR="00743A2C">
        <w:rPr>
          <w:rFonts w:ascii="Times New Roman" w:eastAsia="DaxlinePro-Light" w:hAnsi="Times New Roman" w:cs="Times New Roman"/>
          <w:b/>
          <w:bCs/>
          <w:noProof/>
          <w:sz w:val="24"/>
          <w:szCs w:val="24"/>
          <w:lang w:val="en-US"/>
        </w:rPr>
        <w:t>4</w:t>
      </w:r>
      <w:r w:rsidRPr="00171A79">
        <w:rPr>
          <w:rFonts w:ascii="Times New Roman" w:eastAsia="DaxlinePro-Light" w:hAnsi="Times New Roman" w:cs="Times New Roman"/>
          <w:b/>
          <w:bCs/>
          <w:noProof/>
          <w:sz w:val="24"/>
          <w:szCs w:val="24"/>
          <w:lang w:val="en-US"/>
        </w:rPr>
        <w:t>.202</w:t>
      </w:r>
      <w:r w:rsidR="00743A2C">
        <w:rPr>
          <w:rFonts w:ascii="Times New Roman" w:eastAsia="DaxlinePro-Light" w:hAnsi="Times New Roman" w:cs="Times New Roman"/>
          <w:b/>
          <w:bCs/>
          <w:noProof/>
          <w:sz w:val="24"/>
          <w:szCs w:val="24"/>
          <w:lang w:val="en-US"/>
        </w:rPr>
        <w:t>4</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2B34F5">
      <w:pPr>
        <w:widowControl w:val="0"/>
        <w:spacing w:after="0" w:line="240" w:lineRule="auto"/>
        <w:rPr>
          <w:rFonts w:ascii="Times New Roman" w:eastAsia="DaxlinePro-Light" w:hAnsi="Times New Roman" w:cs="Times New Roman"/>
          <w:noProof/>
          <w:sz w:val="24"/>
          <w:szCs w:val="24"/>
          <w:lang w:val="en-US"/>
        </w:rPr>
      </w:pPr>
    </w:p>
    <w:p w14:paraId="65D9B40B" w14:textId="2F5FA5C6"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146AF6ED" w14:textId="32CC1952" w:rsidR="00D70C37" w:rsidRPr="007A27D7" w:rsidRDefault="00D70C37" w:rsidP="002B34F5">
      <w:pPr>
        <w:widowControl w:val="0"/>
        <w:spacing w:after="0" w:line="240"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357CFA35" w14:textId="77777777" w:rsidR="003044ED" w:rsidRPr="00171A79" w:rsidRDefault="003044ED" w:rsidP="002B34F5">
      <w:pPr>
        <w:widowControl w:val="0"/>
        <w:spacing w:after="0" w:line="240"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2B34F5">
      <w:pPr>
        <w:widowControl w:val="0"/>
        <w:spacing w:after="0" w:line="240"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77534BE7" w14:textId="7E1D716B" w:rsidR="00C507A2" w:rsidRDefault="00D70C37"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C507A2"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5D4B6512"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6EFE"/>
    <w:rsid w:val="00152509"/>
    <w:rsid w:val="0015498E"/>
    <w:rsid w:val="001579A7"/>
    <w:rsid w:val="00170192"/>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34F5"/>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1676"/>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5762"/>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A73B5"/>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27800"/>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07417"/>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3CB3"/>
    <w:rsid w:val="007047C4"/>
    <w:rsid w:val="00706A90"/>
    <w:rsid w:val="0071049B"/>
    <w:rsid w:val="007122DF"/>
    <w:rsid w:val="00714944"/>
    <w:rsid w:val="0072620F"/>
    <w:rsid w:val="0072653F"/>
    <w:rsid w:val="00734843"/>
    <w:rsid w:val="0073775A"/>
    <w:rsid w:val="0073797A"/>
    <w:rsid w:val="00737AE8"/>
    <w:rsid w:val="00741276"/>
    <w:rsid w:val="00743A2C"/>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27D7"/>
    <w:rsid w:val="007A3A00"/>
    <w:rsid w:val="007A6718"/>
    <w:rsid w:val="007B06C9"/>
    <w:rsid w:val="007B1B82"/>
    <w:rsid w:val="007B2DCB"/>
    <w:rsid w:val="007B36F0"/>
    <w:rsid w:val="007B5248"/>
    <w:rsid w:val="007B5D57"/>
    <w:rsid w:val="007B7446"/>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51"/>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1064"/>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6EC1"/>
    <w:rsid w:val="0097736A"/>
    <w:rsid w:val="009818D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421D"/>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3DC9"/>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6B27"/>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7A2"/>
    <w:rsid w:val="00C51914"/>
    <w:rsid w:val="00C5287F"/>
    <w:rsid w:val="00C54A33"/>
    <w:rsid w:val="00C56D98"/>
    <w:rsid w:val="00C5793C"/>
    <w:rsid w:val="00C57C5A"/>
    <w:rsid w:val="00C6019F"/>
    <w:rsid w:val="00C601B9"/>
    <w:rsid w:val="00C605B0"/>
    <w:rsid w:val="00C66B77"/>
    <w:rsid w:val="00C72384"/>
    <w:rsid w:val="00C875A9"/>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32BE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134"/>
    <w:rsid w:val="00FB5DE5"/>
    <w:rsid w:val="00FB7CFD"/>
    <w:rsid w:val="00FC13DF"/>
    <w:rsid w:val="00FC1EFE"/>
    <w:rsid w:val="00FC2DD0"/>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A3F9-180F-4059-87C2-588A390884C4}">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F9883E6D-FCDB-41CB-A747-5B90A336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35766-4A1E-4127-96DE-8FE8C1ED72BA}">
  <ds:schemaRefs>
    <ds:schemaRef ds:uri="http://schemas.microsoft.com/sharepoint/v3/contenttype/forms"/>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38</cp:revision>
  <cp:lastPrinted>2019-03-20T15:50:00Z</cp:lastPrinted>
  <dcterms:created xsi:type="dcterms:W3CDTF">2022-03-25T14:02:00Z</dcterms:created>
  <dcterms:modified xsi:type="dcterms:W3CDTF">2024-03-29T16:50:00Z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